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0C64A0" w:rsidRDefault="00634FD3">
      <w:pPr>
        <w:jc w:val="center"/>
        <w:rPr>
          <w:b/>
          <w:noProof/>
          <w:sz w:val="24"/>
          <w:szCs w:val="24"/>
          <w:lang w:val="hr-HR"/>
        </w:rPr>
      </w:pPr>
      <w:r w:rsidRPr="000C64A0">
        <w:rPr>
          <w:b/>
          <w:noProof/>
          <w:sz w:val="24"/>
          <w:szCs w:val="24"/>
          <w:lang w:val="hr-HR"/>
        </w:rPr>
        <w:t>Vlade nastavljaju slabiti demokraciju u 2022.,</w:t>
      </w:r>
      <w:r w:rsidR="000C64A0" w:rsidRPr="000C64A0">
        <w:rPr>
          <w:b/>
          <w:noProof/>
          <w:sz w:val="24"/>
          <w:szCs w:val="24"/>
          <w:lang w:val="hr-HR"/>
        </w:rPr>
        <w:t xml:space="preserve"> </w:t>
      </w:r>
      <w:r w:rsidRPr="000C64A0">
        <w:rPr>
          <w:b/>
          <w:noProof/>
          <w:sz w:val="24"/>
          <w:szCs w:val="24"/>
          <w:lang w:val="hr-HR"/>
        </w:rPr>
        <w:t>stoji u godišnjem izvješću o vladavini prava za cijelu EU</w:t>
      </w:r>
    </w:p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5F3217" w:rsidRDefault="005F3217">
      <w:pPr>
        <w:rPr>
          <w:i/>
          <w:noProof/>
          <w:sz w:val="20"/>
          <w:szCs w:val="20"/>
          <w:lang w:val="hr-HR"/>
        </w:rPr>
      </w:pPr>
      <w:r w:rsidRPr="005F3217">
        <w:rPr>
          <w:i/>
          <w:noProof/>
          <w:sz w:val="20"/>
          <w:szCs w:val="20"/>
          <w:lang w:val="hr-HR"/>
        </w:rPr>
        <w:t>Berlin – Brisel – Zagreb, 21. veljače 2023.</w:t>
      </w:r>
    </w:p>
    <w:p w:rsidR="005F3217" w:rsidRPr="000C64A0" w:rsidRDefault="005F3217">
      <w:pPr>
        <w:rPr>
          <w:noProof/>
          <w:sz w:val="20"/>
          <w:szCs w:val="20"/>
          <w:lang w:val="hr-HR"/>
        </w:rPr>
      </w:pPr>
    </w:p>
    <w:p w:rsidR="00464FAF" w:rsidRPr="000C64A0" w:rsidRDefault="00634FD3" w:rsidP="005F3217">
      <w:pPr>
        <w:jc w:val="both"/>
        <w:rPr>
          <w:noProof/>
          <w:sz w:val="20"/>
          <w:szCs w:val="20"/>
          <w:lang w:val="hr-HR"/>
        </w:rPr>
      </w:pPr>
      <w:r w:rsidRPr="000C64A0">
        <w:rPr>
          <w:noProof/>
          <w:sz w:val="20"/>
          <w:szCs w:val="20"/>
          <w:lang w:val="hr-HR"/>
        </w:rPr>
        <w:t>Većina zemalja EU-a uložila je malo truda u rješavanje dokumentiranih problema s vladavinom prava, dopustila je da se postojeći nedo</w:t>
      </w:r>
      <w:bookmarkStart w:id="0" w:name="_GoBack"/>
      <w:bookmarkEnd w:id="0"/>
      <w:r w:rsidRPr="000C64A0">
        <w:rPr>
          <w:noProof/>
          <w:sz w:val="20"/>
          <w:szCs w:val="20"/>
          <w:lang w:val="hr-HR"/>
        </w:rPr>
        <w:t xml:space="preserve">staci ne riješe ili čak pogoršala stvari u svim procijenjenim područjima, ističe se u „Izvješću o vladavini prava za 2023.“ (Izvješće). </w:t>
      </w:r>
      <w:r w:rsidRPr="000C64A0">
        <w:rPr>
          <w:noProof/>
          <w:sz w:val="20"/>
          <w:szCs w:val="20"/>
          <w:lang w:val="hr-HR"/>
        </w:rPr>
        <w:br/>
      </w:r>
      <w:r w:rsidRPr="000C64A0">
        <w:rPr>
          <w:noProof/>
          <w:sz w:val="20"/>
          <w:szCs w:val="20"/>
          <w:lang w:val="hr-HR"/>
        </w:rPr>
        <w:br/>
        <w:t>Nadilazeći opseg godišnje</w:t>
      </w:r>
      <w:r w:rsidR="000C64A0">
        <w:rPr>
          <w:noProof/>
          <w:sz w:val="20"/>
          <w:szCs w:val="20"/>
          <w:lang w:val="hr-HR"/>
        </w:rPr>
        <w:t>g pregleda stanja v</w:t>
      </w:r>
      <w:r w:rsidRPr="000C64A0">
        <w:rPr>
          <w:noProof/>
          <w:sz w:val="20"/>
          <w:szCs w:val="20"/>
          <w:lang w:val="hr-HR"/>
        </w:rPr>
        <w:t xml:space="preserve">ladavine prava Europske komisije, Libertiesovo izvješće iznosi najupečatljivija kretanja u vezi s pravosuđem, korupcijom, slobodom medija, </w:t>
      </w:r>
      <w:r w:rsidR="000C64A0">
        <w:rPr>
          <w:noProof/>
          <w:sz w:val="20"/>
          <w:szCs w:val="20"/>
          <w:lang w:val="hr-HR"/>
        </w:rPr>
        <w:t xml:space="preserve">sustavom </w:t>
      </w:r>
      <w:r w:rsidRPr="000C64A0">
        <w:rPr>
          <w:noProof/>
          <w:sz w:val="20"/>
          <w:szCs w:val="20"/>
          <w:lang w:val="hr-HR"/>
        </w:rPr>
        <w:t>provjer</w:t>
      </w:r>
      <w:r w:rsidR="000C64A0">
        <w:rPr>
          <w:noProof/>
          <w:sz w:val="20"/>
          <w:szCs w:val="20"/>
          <w:lang w:val="hr-HR"/>
        </w:rPr>
        <w:t>e</w:t>
      </w:r>
      <w:r w:rsidRPr="000C64A0">
        <w:rPr>
          <w:noProof/>
          <w:sz w:val="20"/>
          <w:szCs w:val="20"/>
          <w:lang w:val="hr-HR"/>
        </w:rPr>
        <w:t xml:space="preserve"> i ravnotež</w:t>
      </w:r>
      <w:r w:rsidR="000C64A0">
        <w:rPr>
          <w:noProof/>
          <w:sz w:val="20"/>
          <w:szCs w:val="20"/>
          <w:lang w:val="hr-HR"/>
        </w:rPr>
        <w:t>e</w:t>
      </w:r>
      <w:r w:rsidRPr="000C64A0">
        <w:rPr>
          <w:noProof/>
          <w:sz w:val="20"/>
          <w:szCs w:val="20"/>
          <w:lang w:val="hr-HR"/>
        </w:rPr>
        <w:t>, građanskim prostorom i sustavnim pitanjima ljudskih prava u 2022. koju je sastavilo 45 organizacija za ljudska prava u 18 zemalja diljem EU-a, uključujući Centar za mirovne studije. Izvješće je do sada najdetaljnije izvješće u sjeni o vladavini prava neovisne mreže za građanske slobode u EU-u.</w:t>
      </w:r>
    </w:p>
    <w:p w:rsidR="00464FAF" w:rsidRPr="000C64A0" w:rsidRDefault="00464FAF" w:rsidP="005F3217">
      <w:pPr>
        <w:jc w:val="both"/>
        <w:rPr>
          <w:noProof/>
          <w:sz w:val="20"/>
          <w:szCs w:val="20"/>
          <w:lang w:val="hr-HR"/>
        </w:rPr>
      </w:pPr>
    </w:p>
    <w:p w:rsidR="00464FAF" w:rsidRPr="000C64A0" w:rsidRDefault="00634FD3" w:rsidP="005F3217">
      <w:pPr>
        <w:jc w:val="both"/>
        <w:rPr>
          <w:noProof/>
          <w:sz w:val="20"/>
          <w:szCs w:val="20"/>
          <w:lang w:val="hr-HR"/>
        </w:rPr>
      </w:pPr>
      <w:r w:rsidRPr="000C64A0">
        <w:rPr>
          <w:noProof/>
          <w:sz w:val="20"/>
          <w:szCs w:val="20"/>
          <w:lang w:val="hr-HR"/>
        </w:rPr>
        <w:t>U Hrvatskoj su neučinkovitost pravosuđa, napadi i SLAPP napadi na novinare, kontinuirani trend sužavanja građanskog prostora i rašireno kršenje prava izbjeglica i drugih migranata među glavnim pitanjima vladavine prava, ističe se u Izvješću.</w:t>
      </w:r>
    </w:p>
    <w:p w:rsidR="00464FAF" w:rsidRPr="000C64A0" w:rsidRDefault="00464FAF" w:rsidP="005F3217">
      <w:pPr>
        <w:jc w:val="both"/>
        <w:rPr>
          <w:noProof/>
          <w:sz w:val="20"/>
          <w:szCs w:val="20"/>
          <w:lang w:val="hr-HR"/>
        </w:rPr>
      </w:pPr>
    </w:p>
    <w:p w:rsidR="00464FAF" w:rsidRPr="000C64A0" w:rsidRDefault="00634FD3" w:rsidP="005F3217">
      <w:pPr>
        <w:jc w:val="both"/>
        <w:rPr>
          <w:noProof/>
          <w:sz w:val="20"/>
          <w:szCs w:val="20"/>
          <w:lang w:val="hr-HR"/>
        </w:rPr>
      </w:pPr>
      <w:r w:rsidRPr="000C64A0">
        <w:rPr>
          <w:b/>
          <w:noProof/>
          <w:sz w:val="20"/>
          <w:szCs w:val="20"/>
          <w:lang w:val="hr-HR"/>
        </w:rPr>
        <w:t>Sara Lalić</w:t>
      </w:r>
      <w:r w:rsidRPr="000C64A0">
        <w:rPr>
          <w:noProof/>
          <w:sz w:val="20"/>
          <w:szCs w:val="20"/>
          <w:lang w:val="hr-HR"/>
        </w:rPr>
        <w:t xml:space="preserve">, programska </w:t>
      </w:r>
      <w:r w:rsidR="00642B7B" w:rsidRPr="000C64A0">
        <w:rPr>
          <w:noProof/>
          <w:sz w:val="20"/>
          <w:szCs w:val="20"/>
          <w:lang w:val="hr-HR"/>
        </w:rPr>
        <w:t>voditeljica</w:t>
      </w:r>
      <w:r w:rsidRPr="000C64A0">
        <w:rPr>
          <w:noProof/>
          <w:sz w:val="20"/>
          <w:szCs w:val="20"/>
          <w:lang w:val="hr-HR"/>
        </w:rPr>
        <w:t xml:space="preserve"> Centra za mirovne studije, izjavila je: „Vladavina prava u Hrvatskoj nije unaprijeđena u 2022. Posebno smo zabrinuti zbog SLAPP-ova protiv novinara, pitanja sužavanja</w:t>
      </w:r>
      <w:r w:rsidR="00642B7B" w:rsidRPr="000C64A0">
        <w:rPr>
          <w:noProof/>
          <w:sz w:val="20"/>
          <w:szCs w:val="20"/>
          <w:lang w:val="hr-HR"/>
        </w:rPr>
        <w:t xml:space="preserve"> </w:t>
      </w:r>
      <w:r w:rsidRPr="000C64A0">
        <w:rPr>
          <w:noProof/>
          <w:sz w:val="20"/>
          <w:szCs w:val="20"/>
          <w:lang w:val="hr-HR"/>
        </w:rPr>
        <w:t>prostora</w:t>
      </w:r>
      <w:r w:rsidR="00642B7B" w:rsidRPr="000C64A0">
        <w:rPr>
          <w:noProof/>
          <w:sz w:val="20"/>
          <w:szCs w:val="20"/>
          <w:lang w:val="hr-HR"/>
        </w:rPr>
        <w:t xml:space="preserve"> za djelovanje civilnog društva</w:t>
      </w:r>
      <w:r w:rsidRPr="000C64A0">
        <w:rPr>
          <w:noProof/>
          <w:sz w:val="20"/>
          <w:szCs w:val="20"/>
          <w:lang w:val="hr-HR"/>
        </w:rPr>
        <w:t xml:space="preserve"> i nekažnjivosti za sustavna kršenja ljudskih prava izbjeglica i drugih migranata koje provodi hrvatska policija."</w:t>
      </w:r>
    </w:p>
    <w:p w:rsidR="00464FAF" w:rsidRPr="000C64A0" w:rsidRDefault="00464FAF" w:rsidP="005F3217">
      <w:pPr>
        <w:jc w:val="both"/>
        <w:rPr>
          <w:noProof/>
          <w:sz w:val="20"/>
          <w:szCs w:val="20"/>
          <w:lang w:val="hr-HR"/>
        </w:rPr>
      </w:pPr>
    </w:p>
    <w:p w:rsidR="00464FAF" w:rsidRPr="000C64A0" w:rsidRDefault="00634FD3" w:rsidP="005F3217">
      <w:pPr>
        <w:jc w:val="both"/>
        <w:rPr>
          <w:noProof/>
          <w:sz w:val="20"/>
          <w:szCs w:val="20"/>
          <w:lang w:val="hr-HR"/>
        </w:rPr>
      </w:pPr>
      <w:r w:rsidRPr="000C64A0">
        <w:rPr>
          <w:noProof/>
          <w:sz w:val="20"/>
          <w:szCs w:val="20"/>
          <w:lang w:val="hr-HR"/>
        </w:rPr>
        <w:t>Dok se situacija u državama članicama nastavlja kretati u pogrešnom smjeru, EU je imala mješovit uspjeh u ostvarivanju pozitivnog utjecaja, a posebno zabrinjavaju reakcije EU na prijetnje demokraciji u zemljama članicama.</w:t>
      </w:r>
    </w:p>
    <w:p w:rsidR="00464FAF" w:rsidRPr="000C64A0" w:rsidRDefault="00464FAF" w:rsidP="005F3217">
      <w:pPr>
        <w:jc w:val="both"/>
        <w:rPr>
          <w:noProof/>
          <w:sz w:val="20"/>
          <w:szCs w:val="20"/>
          <w:lang w:val="hr-HR"/>
        </w:rPr>
      </w:pPr>
    </w:p>
    <w:p w:rsidR="00464FAF" w:rsidRPr="000C64A0" w:rsidRDefault="00634FD3" w:rsidP="005F3217">
      <w:pPr>
        <w:jc w:val="both"/>
        <w:rPr>
          <w:noProof/>
          <w:sz w:val="20"/>
          <w:szCs w:val="20"/>
          <w:lang w:val="hr-HR"/>
        </w:rPr>
      </w:pPr>
      <w:r w:rsidRPr="000C64A0">
        <w:rPr>
          <w:b/>
          <w:noProof/>
          <w:sz w:val="20"/>
          <w:szCs w:val="20"/>
          <w:lang w:val="hr-HR"/>
        </w:rPr>
        <w:t>Balazs Denes</w:t>
      </w:r>
      <w:r w:rsidRPr="000C64A0">
        <w:rPr>
          <w:noProof/>
          <w:sz w:val="20"/>
          <w:szCs w:val="20"/>
          <w:lang w:val="hr-HR"/>
        </w:rPr>
        <w:t>, izvršni direktor Liberties mreže povodom objave Izvještaja poručio je: “Europske vlade trebale bi shvatiti da time što ne njeguju svoje demokracije</w:t>
      </w:r>
      <w:r w:rsidR="005F3217">
        <w:rPr>
          <w:noProof/>
          <w:sz w:val="20"/>
          <w:szCs w:val="20"/>
          <w:lang w:val="hr-HR"/>
        </w:rPr>
        <w:t xml:space="preserve"> nego</w:t>
      </w:r>
      <w:r w:rsidRPr="000C64A0">
        <w:rPr>
          <w:noProof/>
          <w:sz w:val="20"/>
          <w:szCs w:val="20"/>
          <w:lang w:val="hr-HR"/>
        </w:rPr>
        <w:t xml:space="preserve"> otvaraju put ekstremističkim političarima koji neće oklijevati srušiti cijeli sustav. Unatoč tome što je Br</w:t>
      </w:r>
      <w:r w:rsidR="005F3217">
        <w:rPr>
          <w:noProof/>
          <w:sz w:val="20"/>
          <w:szCs w:val="20"/>
          <w:lang w:val="hr-HR"/>
        </w:rPr>
        <w:t>isel</w:t>
      </w:r>
      <w:r w:rsidRPr="000C64A0">
        <w:rPr>
          <w:noProof/>
          <w:sz w:val="20"/>
          <w:szCs w:val="20"/>
          <w:lang w:val="hr-HR"/>
        </w:rPr>
        <w:t xml:space="preserve"> dopustio da bude ucijenjen poduzimanjem polovičnih mjera, želimo vidjeti da EU u potpunosti koristi mehanizam uvjetovan</w:t>
      </w:r>
      <w:r w:rsidR="00DE6949" w:rsidRPr="000C64A0">
        <w:rPr>
          <w:noProof/>
          <w:sz w:val="20"/>
          <w:szCs w:val="20"/>
          <w:lang w:val="hr-HR"/>
        </w:rPr>
        <w:t>osti</w:t>
      </w:r>
      <w:r w:rsidRPr="000C64A0">
        <w:rPr>
          <w:noProof/>
          <w:sz w:val="20"/>
          <w:szCs w:val="20"/>
          <w:lang w:val="hr-HR"/>
        </w:rPr>
        <w:t xml:space="preserve"> i za poljski i za mađarski režim. Kada se sredstva obustave, to mora biti na razini koja Orbanu i Kaczynskom ne daje izbora nego vratiti demokraciju svojim građanima</w:t>
      </w:r>
      <w:r w:rsidR="00DE6949" w:rsidRPr="000C64A0">
        <w:rPr>
          <w:noProof/>
          <w:sz w:val="20"/>
          <w:szCs w:val="20"/>
          <w:lang w:val="hr-HR"/>
        </w:rPr>
        <w:t xml:space="preserve">.  </w:t>
      </w:r>
    </w:p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0C64A0" w:rsidRDefault="00464FAF">
      <w:pPr>
        <w:rPr>
          <w:noProof/>
          <w:sz w:val="20"/>
          <w:szCs w:val="20"/>
          <w:lang w:val="hr-HR"/>
        </w:rPr>
      </w:pPr>
    </w:p>
    <w:p w:rsidR="00464FAF" w:rsidRPr="000C64A0" w:rsidRDefault="00634FD3">
      <w:pPr>
        <w:jc w:val="center"/>
        <w:rPr>
          <w:b/>
          <w:noProof/>
          <w:sz w:val="20"/>
          <w:szCs w:val="20"/>
          <w:lang w:val="hr-HR"/>
        </w:rPr>
      </w:pPr>
      <w:r w:rsidRPr="000C64A0">
        <w:rPr>
          <w:b/>
          <w:noProof/>
          <w:sz w:val="20"/>
          <w:szCs w:val="20"/>
          <w:lang w:val="hr-HR"/>
        </w:rPr>
        <w:t xml:space="preserve">  Cijeli Izvještaj o vladavini prava u EU - ‘Liberties Rule Of Law Report 2023’ dostupan je </w:t>
      </w:r>
      <w:hyperlink r:id="rId7" w:history="1">
        <w:r w:rsidRPr="000C64A0">
          <w:rPr>
            <w:rStyle w:val="Hyperlink"/>
            <w:b/>
            <w:noProof/>
            <w:sz w:val="20"/>
            <w:szCs w:val="20"/>
            <w:lang w:val="hr-HR"/>
          </w:rPr>
          <w:t>ovdje</w:t>
        </w:r>
      </w:hyperlink>
      <w:r w:rsidRPr="000C64A0">
        <w:rPr>
          <w:b/>
          <w:noProof/>
          <w:sz w:val="20"/>
          <w:szCs w:val="20"/>
          <w:lang w:val="hr-HR"/>
        </w:rPr>
        <w:t xml:space="preserve"> </w:t>
      </w:r>
    </w:p>
    <w:p w:rsidR="00464FAF" w:rsidRPr="000C64A0" w:rsidRDefault="00464FAF">
      <w:pPr>
        <w:jc w:val="center"/>
        <w:rPr>
          <w:b/>
          <w:noProof/>
          <w:sz w:val="20"/>
          <w:szCs w:val="20"/>
          <w:lang w:val="hr-HR"/>
        </w:rPr>
      </w:pPr>
    </w:p>
    <w:p w:rsidR="00464FAF" w:rsidRPr="000C64A0" w:rsidRDefault="00634FD3">
      <w:pPr>
        <w:jc w:val="center"/>
        <w:rPr>
          <w:noProof/>
          <w:sz w:val="20"/>
          <w:szCs w:val="20"/>
          <w:lang w:val="hr-HR"/>
        </w:rPr>
      </w:pPr>
      <w:r w:rsidRPr="000C64A0">
        <w:rPr>
          <w:b/>
          <w:noProof/>
          <w:sz w:val="20"/>
          <w:szCs w:val="20"/>
          <w:lang w:val="hr-HR"/>
        </w:rPr>
        <w:t xml:space="preserve">Izvještaj za Hrvatsku dostupan je </w:t>
      </w:r>
      <w:hyperlink r:id="rId8" w:history="1">
        <w:r w:rsidRPr="000C64A0">
          <w:rPr>
            <w:rStyle w:val="Hyperlink"/>
            <w:b/>
            <w:noProof/>
            <w:sz w:val="20"/>
            <w:szCs w:val="20"/>
            <w:lang w:val="hr-HR"/>
          </w:rPr>
          <w:t>ovdje</w:t>
        </w:r>
      </w:hyperlink>
      <w:r w:rsidRPr="000C64A0">
        <w:rPr>
          <w:b/>
          <w:noProof/>
          <w:sz w:val="20"/>
          <w:szCs w:val="20"/>
          <w:lang w:val="hr-HR"/>
        </w:rPr>
        <w:t xml:space="preserve"> </w:t>
      </w:r>
    </w:p>
    <w:sectPr w:rsidR="00464FAF" w:rsidRPr="000C64A0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0F" w:rsidRDefault="00EA1E0F">
      <w:pPr>
        <w:spacing w:line="240" w:lineRule="auto"/>
      </w:pPr>
      <w:r>
        <w:separator/>
      </w:r>
    </w:p>
  </w:endnote>
  <w:endnote w:type="continuationSeparator" w:id="0">
    <w:p w:rsidR="00EA1E0F" w:rsidRDefault="00EA1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0F" w:rsidRDefault="00EA1E0F">
      <w:pPr>
        <w:spacing w:line="240" w:lineRule="auto"/>
      </w:pPr>
      <w:r>
        <w:separator/>
      </w:r>
    </w:p>
  </w:footnote>
  <w:footnote w:type="continuationSeparator" w:id="0">
    <w:p w:rsidR="00EA1E0F" w:rsidRDefault="00EA1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FAF" w:rsidRDefault="00634FD3">
    <w:pPr>
      <w:jc w:val="center"/>
      <w:rPr>
        <w:b/>
        <w:sz w:val="28"/>
        <w:szCs w:val="28"/>
        <w:highlight w:val="yellow"/>
      </w:rPr>
    </w:pPr>
    <w:r>
      <w:rPr>
        <w:noProof/>
        <w:sz w:val="30"/>
        <w:szCs w:val="30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5705475</wp:posOffset>
          </wp:positionH>
          <wp:positionV relativeFrom="page">
            <wp:posOffset>247650</wp:posOffset>
          </wp:positionV>
          <wp:extent cx="1371600" cy="740664"/>
          <wp:effectExtent l="0" t="0" r="0" b="0"/>
          <wp:wrapSquare wrapText="bothSides" distT="114300" distB="11430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740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30"/>
        <w:szCs w:val="30"/>
      </w:rPr>
      <w:t xml:space="preserve">  </w:t>
    </w:r>
    <w:r>
      <w:rPr>
        <w:b/>
        <w:sz w:val="28"/>
        <w:szCs w:val="28"/>
      </w:rPr>
      <w:t>Press Release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-209549</wp:posOffset>
          </wp:positionV>
          <wp:extent cx="1004888" cy="46487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888" cy="464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4FAF" w:rsidRDefault="00464FAF">
    <w:pPr>
      <w:jc w:val="center"/>
      <w:rPr>
        <w:b/>
        <w:color w:val="FF0000"/>
        <w:sz w:val="20"/>
        <w:szCs w:val="20"/>
      </w:rPr>
    </w:pPr>
  </w:p>
  <w:p w:rsidR="00464FAF" w:rsidRDefault="00464FAF">
    <w:pPr>
      <w:rPr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0BB"/>
    <w:multiLevelType w:val="multilevel"/>
    <w:tmpl w:val="10CCAAB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93770"/>
    <w:multiLevelType w:val="multilevel"/>
    <w:tmpl w:val="E1227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185039"/>
    <w:multiLevelType w:val="multilevel"/>
    <w:tmpl w:val="A42EF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AF"/>
    <w:rsid w:val="000C64A0"/>
    <w:rsid w:val="00464FAF"/>
    <w:rsid w:val="005F3217"/>
    <w:rsid w:val="00634FD3"/>
    <w:rsid w:val="00642B7B"/>
    <w:rsid w:val="00DE6949"/>
    <w:rsid w:val="00E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A885"/>
  <w15:docId w15:val="{D3E0A430-22C4-4153-93C8-835E33F1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9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B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q4n3btxmr8c9.cloudfront.net/files/umbiis/RuleOfLaw_Report_2023_Croat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erties.eu/f/lknfh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Lalic</cp:lastModifiedBy>
  <cp:revision>5</cp:revision>
  <dcterms:created xsi:type="dcterms:W3CDTF">2023-04-20T14:46:00Z</dcterms:created>
  <dcterms:modified xsi:type="dcterms:W3CDTF">2023-04-20T15:18:00Z</dcterms:modified>
</cp:coreProperties>
</file>