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758" w:rsidRDefault="00425621" w:rsidP="007B4565">
      <w:pPr>
        <w:spacing w:line="276" w:lineRule="auto"/>
      </w:pPr>
    </w:p>
    <w:p w:rsidR="007B4565" w:rsidRDefault="00C854AF" w:rsidP="007B4565">
      <w:pPr>
        <w:spacing w:line="276" w:lineRule="auto"/>
        <w:jc w:val="right"/>
      </w:pPr>
      <w:r>
        <w:t>Zagreb, 17</w:t>
      </w:r>
      <w:r w:rsidR="007B4565">
        <w:t>. listopada 2017.</w:t>
      </w:r>
    </w:p>
    <w:p w:rsidR="00C854AF" w:rsidRDefault="00C854AF" w:rsidP="00C854AF">
      <w:pPr>
        <w:autoSpaceDE w:val="0"/>
        <w:autoSpaceDN w:val="0"/>
        <w:adjustRightInd w:val="0"/>
        <w:spacing w:after="0" w:line="276" w:lineRule="auto"/>
        <w:jc w:val="center"/>
        <w:rPr>
          <w:rFonts w:ascii="Calibri" w:eastAsia="Calibri" w:hAnsi="Calibri" w:cs="Calibri"/>
          <w:b/>
          <w:bCs/>
          <w:color w:val="000000"/>
          <w:sz w:val="26"/>
          <w:szCs w:val="26"/>
        </w:rPr>
      </w:pPr>
      <w:r w:rsidRPr="00C854AF">
        <w:rPr>
          <w:rFonts w:ascii="Calibri" w:eastAsia="Calibri" w:hAnsi="Calibri" w:cs="Calibri"/>
          <w:b/>
          <w:bCs/>
          <w:color w:val="000000"/>
          <w:sz w:val="26"/>
          <w:szCs w:val="26"/>
        </w:rPr>
        <w:t>MEĐUNARODNI DAN BORBE PROTIV SIROMAŠTVA I SOCIJALNE ISKLJUČENOSTI</w:t>
      </w:r>
    </w:p>
    <w:p w:rsidR="007B4565" w:rsidRDefault="000A6527" w:rsidP="000A6527">
      <w:pPr>
        <w:autoSpaceDE w:val="0"/>
        <w:autoSpaceDN w:val="0"/>
        <w:adjustRightInd w:val="0"/>
        <w:spacing w:after="0" w:line="276" w:lineRule="auto"/>
        <w:jc w:val="center"/>
        <w:rPr>
          <w:rFonts w:ascii="Calibri" w:eastAsia="Calibri" w:hAnsi="Calibri" w:cs="Calibri"/>
          <w:b/>
          <w:color w:val="000000"/>
          <w:sz w:val="26"/>
          <w:szCs w:val="26"/>
        </w:rPr>
      </w:pPr>
      <w:bookmarkStart w:id="0" w:name="_GoBack"/>
      <w:r>
        <w:rPr>
          <w:rFonts w:ascii="Calibri" w:eastAsia="Calibri" w:hAnsi="Calibri" w:cs="Calibri"/>
          <w:b/>
          <w:color w:val="000000"/>
          <w:sz w:val="26"/>
          <w:szCs w:val="26"/>
        </w:rPr>
        <w:t>Više od četvrtine građana Hrvatske u riziku od siromaštva</w:t>
      </w:r>
      <w:bookmarkEnd w:id="0"/>
    </w:p>
    <w:p w:rsidR="000A6527" w:rsidRPr="007B4565" w:rsidRDefault="000A6527" w:rsidP="007B456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b/>
          <w:color w:val="000000"/>
        </w:rPr>
      </w:pPr>
    </w:p>
    <w:p w:rsidR="00C854AF" w:rsidRPr="00C854AF" w:rsidRDefault="00C854AF" w:rsidP="00C854AF">
      <w:pPr>
        <w:jc w:val="both"/>
        <w:rPr>
          <w:rFonts w:ascii="Calibri" w:eastAsia="Calibri" w:hAnsi="Calibri" w:cs="Times New Roman"/>
          <w:noProof/>
        </w:rPr>
      </w:pPr>
      <w:r w:rsidRPr="000A6527">
        <w:rPr>
          <w:rFonts w:ascii="Calibri" w:eastAsia="Calibri" w:hAnsi="Calibri" w:cs="Times New Roman"/>
          <w:b/>
          <w:noProof/>
        </w:rPr>
        <w:t xml:space="preserve">U Hrvatskoj 1 164 643 osobe, odnosno </w:t>
      </w:r>
      <w:hyperlink r:id="rId6" w:history="1">
        <w:r w:rsidRPr="000A6527">
          <w:rPr>
            <w:rFonts w:ascii="Calibri" w:eastAsia="Calibri" w:hAnsi="Calibri" w:cs="Times New Roman"/>
            <w:b/>
            <w:noProof/>
            <w:color w:val="0563C1"/>
            <w:u w:val="single"/>
          </w:rPr>
          <w:t>gotovo 30 % populacije</w:t>
        </w:r>
      </w:hyperlink>
      <w:r w:rsidRPr="000A6527">
        <w:rPr>
          <w:rFonts w:ascii="Calibri" w:eastAsia="Calibri" w:hAnsi="Calibri" w:cs="Times New Roman"/>
          <w:b/>
          <w:noProof/>
        </w:rPr>
        <w:t>, žive u riziku od siromaštva, a više od pola milijuna stanovnika živi u teškoj materijalnoj deprivaciji.</w:t>
      </w:r>
      <w:r w:rsidRPr="00C854AF">
        <w:rPr>
          <w:rFonts w:ascii="Calibri" w:eastAsia="Calibri" w:hAnsi="Calibri" w:cs="Times New Roman"/>
          <w:noProof/>
        </w:rPr>
        <w:t xml:space="preserve"> Istovremeno, Zajamčenu minimalnu naknadu prima samo </w:t>
      </w:r>
      <w:hyperlink r:id="rId7" w:history="1">
        <w:r w:rsidRPr="00C854AF">
          <w:rPr>
            <w:rFonts w:ascii="Calibri" w:eastAsia="Calibri" w:hAnsi="Calibri" w:cs="Times New Roman"/>
            <w:noProof/>
            <w:color w:val="0563C1"/>
            <w:u w:val="single"/>
          </w:rPr>
          <w:t>2,3% stanovnika</w:t>
        </w:r>
      </w:hyperlink>
      <w:r w:rsidRPr="00C854AF">
        <w:rPr>
          <w:rFonts w:ascii="Calibri" w:eastAsia="Calibri" w:hAnsi="Calibri" w:cs="Times New Roman"/>
          <w:noProof/>
        </w:rPr>
        <w:t>, što je manje od 100 000</w:t>
      </w:r>
      <w:r w:rsidR="0023681B">
        <w:rPr>
          <w:rFonts w:ascii="Calibri" w:eastAsia="Calibri" w:hAnsi="Calibri" w:cs="Times New Roman"/>
          <w:noProof/>
        </w:rPr>
        <w:t xml:space="preserve"> ljudi</w:t>
      </w:r>
      <w:r w:rsidRPr="00C854AF">
        <w:rPr>
          <w:rFonts w:ascii="Calibri" w:eastAsia="Calibri" w:hAnsi="Calibri" w:cs="Times New Roman"/>
          <w:noProof/>
        </w:rPr>
        <w:t xml:space="preserve">. To govori o iznimno nedovoljnoj </w:t>
      </w:r>
      <w:r w:rsidR="0023681B">
        <w:rPr>
          <w:rFonts w:ascii="Calibri" w:eastAsia="Calibri" w:hAnsi="Calibri" w:cs="Times New Roman"/>
          <w:noProof/>
        </w:rPr>
        <w:t>zaštiti</w:t>
      </w:r>
      <w:r w:rsidRPr="00C854AF">
        <w:rPr>
          <w:rFonts w:ascii="Calibri" w:eastAsia="Calibri" w:hAnsi="Calibri" w:cs="Times New Roman"/>
          <w:noProof/>
        </w:rPr>
        <w:t xml:space="preserve"> populacije koja živi u riziku od siromaštva, odnosno teškoj materijalnoj deprivaciji osnovnim financijskim mehan</w:t>
      </w:r>
      <w:r w:rsidR="0023681B">
        <w:rPr>
          <w:rFonts w:ascii="Calibri" w:eastAsia="Calibri" w:hAnsi="Calibri" w:cs="Times New Roman"/>
          <w:noProof/>
        </w:rPr>
        <w:t>izmom socijalne skrbi. Također,</w:t>
      </w:r>
      <w:r w:rsidRPr="00C854AF">
        <w:rPr>
          <w:rFonts w:ascii="Calibri" w:eastAsia="Calibri" w:hAnsi="Calibri" w:cs="Times New Roman"/>
          <w:noProof/>
        </w:rPr>
        <w:t xml:space="preserve"> sama </w:t>
      </w:r>
      <w:hyperlink r:id="rId8" w:history="1">
        <w:r w:rsidRPr="00C854AF">
          <w:rPr>
            <w:rFonts w:ascii="Calibri" w:eastAsia="Calibri" w:hAnsi="Calibri" w:cs="Times New Roman"/>
            <w:noProof/>
            <w:color w:val="0563C1"/>
            <w:u w:val="single"/>
          </w:rPr>
          <w:t>naknada pokriva</w:t>
        </w:r>
      </w:hyperlink>
      <w:r w:rsidRPr="00C854AF">
        <w:rPr>
          <w:rFonts w:ascii="Calibri" w:eastAsia="Calibri" w:hAnsi="Calibri" w:cs="Times New Roman"/>
          <w:noProof/>
        </w:rPr>
        <w:t xml:space="preserve"> oko trećinu egzistencijalnih potreba kućanstva koja je primaju. </w:t>
      </w:r>
    </w:p>
    <w:p w:rsidR="00C854AF" w:rsidRPr="00C854AF" w:rsidRDefault="00C854AF" w:rsidP="00C854AF">
      <w:pPr>
        <w:jc w:val="both"/>
        <w:rPr>
          <w:rFonts w:ascii="Calibri" w:eastAsia="Calibri" w:hAnsi="Calibri" w:cs="Times New Roman"/>
          <w:b/>
          <w:noProof/>
        </w:rPr>
      </w:pPr>
      <w:r w:rsidRPr="00C854AF">
        <w:rPr>
          <w:rFonts w:ascii="Calibri" w:eastAsia="Calibri" w:hAnsi="Calibri" w:cs="Times New Roman"/>
          <w:noProof/>
        </w:rPr>
        <w:t>I dok političari i druge javne osobe svakodnevno na sav glas zagovaraju demografsku obnovu Hrvatske, a njihovi prijedlozi najčešće se svode na pritiske spram obitelji da imaju više djece,</w:t>
      </w:r>
      <w:r w:rsidRPr="00C854AF">
        <w:rPr>
          <w:rFonts w:ascii="Calibri" w:eastAsia="Calibri" w:hAnsi="Calibri" w:cs="Times New Roman"/>
          <w:b/>
          <w:noProof/>
        </w:rPr>
        <w:t xml:space="preserve"> upravo obitelji s više od 2 djeteta imaju jednu od najviših stopa rizika od siromaštva.  </w:t>
      </w:r>
      <w:r w:rsidRPr="00C854AF">
        <w:rPr>
          <w:rFonts w:ascii="Calibri" w:eastAsia="Calibri" w:hAnsi="Calibri" w:cs="Times New Roman"/>
          <w:noProof/>
        </w:rPr>
        <w:t>Naime, među siromašnim stanovništvom veći je udio kućanstva s većim brojem djece, jednoroditeljskih obitelji, kućanstava s manje zaposlenih te s nižim stupnjem obrazovanja roditelja, pokazuj</w:t>
      </w:r>
      <w:r>
        <w:rPr>
          <w:rFonts w:ascii="Calibri" w:eastAsia="Calibri" w:hAnsi="Calibri" w:cs="Times New Roman"/>
          <w:noProof/>
        </w:rPr>
        <w:t xml:space="preserve">e </w:t>
      </w:r>
      <w:hyperlink r:id="rId9" w:history="1">
        <w:r>
          <w:rPr>
            <w:rFonts w:ascii="Calibri" w:eastAsia="Calibri" w:hAnsi="Calibri" w:cs="Times New Roman"/>
            <w:noProof/>
            <w:color w:val="0563C1"/>
            <w:u w:val="single"/>
          </w:rPr>
          <w:t>i</w:t>
        </w:r>
        <w:r w:rsidRPr="00C854AF">
          <w:rPr>
            <w:rFonts w:ascii="Calibri" w:eastAsia="Calibri" w:hAnsi="Calibri" w:cs="Times New Roman"/>
            <w:noProof/>
            <w:color w:val="0563C1"/>
            <w:u w:val="single"/>
          </w:rPr>
          <w:t>straživanje</w:t>
        </w:r>
      </w:hyperlink>
      <w:r w:rsidRPr="00C854AF">
        <w:rPr>
          <w:rFonts w:ascii="Calibri" w:eastAsia="Calibri" w:hAnsi="Calibri" w:cs="Times New Roman"/>
          <w:noProof/>
        </w:rPr>
        <w:t xml:space="preserve"> Ekonomskog instituta o dječjem siromaštvu i strategijama nošenja sa siromaštvom kućanstava u RH, kao i prethodne studije. Analiza je dodatno potvrdila da je </w:t>
      </w:r>
      <w:r w:rsidRPr="00C854AF">
        <w:rPr>
          <w:rFonts w:ascii="Calibri" w:eastAsia="Calibri" w:hAnsi="Calibri" w:cs="Times New Roman"/>
          <w:b/>
          <w:noProof/>
        </w:rPr>
        <w:t xml:space="preserve">u Hrvatskoj velika vjerojatnost da će siromašno dijete ostati u siromaštvu duži niz godina. </w:t>
      </w:r>
    </w:p>
    <w:p w:rsidR="00C854AF" w:rsidRPr="00C854AF" w:rsidRDefault="00C854AF" w:rsidP="00C854AF">
      <w:pPr>
        <w:jc w:val="both"/>
        <w:rPr>
          <w:rFonts w:ascii="Calibri" w:eastAsia="Calibri" w:hAnsi="Calibri" w:cs="Times New Roman"/>
          <w:b/>
          <w:noProof/>
        </w:rPr>
      </w:pPr>
      <w:r w:rsidRPr="00C854AF">
        <w:rPr>
          <w:rFonts w:ascii="Calibri" w:eastAsia="Calibri" w:hAnsi="Calibri" w:cs="Times New Roman"/>
          <w:noProof/>
        </w:rPr>
        <w:t>Država</w:t>
      </w:r>
      <w:r w:rsidR="0023681B">
        <w:rPr>
          <w:rFonts w:ascii="Calibri" w:eastAsia="Calibri" w:hAnsi="Calibri" w:cs="Times New Roman"/>
          <w:noProof/>
        </w:rPr>
        <w:t>,</w:t>
      </w:r>
      <w:r w:rsidRPr="00C854AF">
        <w:rPr>
          <w:rFonts w:ascii="Calibri" w:eastAsia="Calibri" w:hAnsi="Calibri" w:cs="Times New Roman"/>
          <w:noProof/>
        </w:rPr>
        <w:t xml:space="preserve"> u sprezi s nekim predstavnicima Katoličke crkve i vjerskih udruga svakodnevno stvara negativno okruženje za ostvarenje pune rodne ravnopravnosti pod krinkom zaštite prava nerođene</w:t>
      </w:r>
      <w:r w:rsidRPr="00C854AF">
        <w:rPr>
          <w:rFonts w:ascii="Calibri" w:eastAsia="Calibri" w:hAnsi="Calibri" w:cs="Times New Roman"/>
          <w:b/>
          <w:noProof/>
        </w:rPr>
        <w:t xml:space="preserve"> </w:t>
      </w:r>
      <w:r w:rsidRPr="00C854AF">
        <w:rPr>
          <w:rFonts w:ascii="Calibri" w:eastAsia="Calibri" w:hAnsi="Calibri" w:cs="Times New Roman"/>
          <w:noProof/>
        </w:rPr>
        <w:t>djece, a</w:t>
      </w:r>
      <w:r w:rsidRPr="00C854AF">
        <w:rPr>
          <w:rFonts w:ascii="Calibri" w:eastAsia="Calibri" w:hAnsi="Calibri" w:cs="Times New Roman"/>
          <w:b/>
          <w:noProof/>
        </w:rPr>
        <w:t xml:space="preserve"> istovremeno dozvoljava da je u Hrvatskoj stopa siromaštva rođene djece čak 21.1%, te da velika većina nije pokrivena adekvatnim mjerama socijalne skrbi. </w:t>
      </w:r>
      <w:r w:rsidRPr="00C854AF">
        <w:rPr>
          <w:rFonts w:ascii="Calibri" w:eastAsia="Calibri" w:hAnsi="Calibri" w:cs="Times New Roman"/>
          <w:noProof/>
        </w:rPr>
        <w:t xml:space="preserve">Siromašna djeca </w:t>
      </w:r>
      <w:r w:rsidR="0023681B">
        <w:rPr>
          <w:rFonts w:ascii="Calibri" w:eastAsia="Calibri" w:hAnsi="Calibri" w:cs="Times New Roman"/>
          <w:noProof/>
        </w:rPr>
        <w:t xml:space="preserve">u </w:t>
      </w:r>
      <w:r w:rsidRPr="00C854AF">
        <w:rPr>
          <w:rFonts w:ascii="Calibri" w:eastAsia="Calibri" w:hAnsi="Calibri" w:cs="Times New Roman"/>
          <w:noProof/>
        </w:rPr>
        <w:t xml:space="preserve">manjem postotku </w:t>
      </w:r>
      <w:r w:rsidR="0023681B">
        <w:rPr>
          <w:rFonts w:ascii="Calibri" w:eastAsia="Calibri" w:hAnsi="Calibri" w:cs="Times New Roman"/>
          <w:noProof/>
        </w:rPr>
        <w:t>pohađaju</w:t>
      </w:r>
      <w:r w:rsidRPr="00C854AF">
        <w:rPr>
          <w:rFonts w:ascii="Calibri" w:eastAsia="Calibri" w:hAnsi="Calibri" w:cs="Times New Roman"/>
          <w:noProof/>
        </w:rPr>
        <w:t xml:space="preserve"> vrtiće, a postoji jasna veza između svake godine predškolskog odgoja i kasnijeg uspjeha djece na testovima matematičke i jezične pismenosti. Naime</w:t>
      </w:r>
      <w:r w:rsidRPr="00C854AF">
        <w:rPr>
          <w:rFonts w:ascii="Calibri" w:eastAsia="Calibri" w:hAnsi="Calibri" w:cs="Times New Roman"/>
          <w:b/>
          <w:noProof/>
        </w:rPr>
        <w:t>, država i lokalne zajednice nisu osigurale jednakost pristupa djece predškolskom odgoju bez obzira na radnu aktivnost i primanja roditelja</w:t>
      </w:r>
      <w:r w:rsidRPr="00C854AF">
        <w:rPr>
          <w:rFonts w:ascii="Calibri" w:eastAsia="Calibri" w:hAnsi="Calibri" w:cs="Times New Roman"/>
          <w:noProof/>
        </w:rPr>
        <w:t>.</w:t>
      </w:r>
      <w:r w:rsidRPr="00C854AF">
        <w:rPr>
          <w:rFonts w:ascii="Calibri" w:eastAsia="Calibri" w:hAnsi="Calibri" w:cs="Times New Roman"/>
          <w:b/>
          <w:noProof/>
        </w:rPr>
        <w:t xml:space="preserve"> </w:t>
      </w:r>
    </w:p>
    <w:p w:rsidR="00C854AF" w:rsidRPr="00C854AF" w:rsidRDefault="00C854AF" w:rsidP="00C854AF">
      <w:pPr>
        <w:jc w:val="both"/>
        <w:rPr>
          <w:rFonts w:ascii="Calibri" w:eastAsia="Calibri" w:hAnsi="Calibri" w:cs="Times New Roman"/>
          <w:noProof/>
        </w:rPr>
      </w:pPr>
      <w:r w:rsidRPr="00C854AF">
        <w:rPr>
          <w:rFonts w:ascii="Calibri" w:eastAsia="Calibri" w:hAnsi="Calibri" w:cs="Times New Roman"/>
          <w:noProof/>
        </w:rPr>
        <w:t xml:space="preserve">I dok se država potrudila za svoje dužnosnike i saborske zastupnike osigurati 12 mjeseci primanja plaće nakon što im je prestao status, </w:t>
      </w:r>
      <w:r w:rsidRPr="00C854AF">
        <w:rPr>
          <w:rFonts w:ascii="Calibri" w:eastAsia="Calibri" w:hAnsi="Calibri" w:cs="Times New Roman"/>
          <w:b/>
          <w:noProof/>
        </w:rPr>
        <w:t>za majke njegovateljice teško bolesne djece nije osigurala naknadu primanja niti jedan dan nakon što im dijete umre</w:t>
      </w:r>
      <w:r w:rsidRPr="00C854AF">
        <w:rPr>
          <w:rFonts w:ascii="Calibri" w:eastAsia="Calibri" w:hAnsi="Calibri" w:cs="Times New Roman"/>
          <w:noProof/>
        </w:rPr>
        <w:t xml:space="preserve">. Naime, od </w:t>
      </w:r>
      <w:r w:rsidR="0023681B">
        <w:rPr>
          <w:rFonts w:ascii="Calibri" w:eastAsia="Calibri" w:hAnsi="Calibri" w:cs="Times New Roman"/>
          <w:noProof/>
        </w:rPr>
        <w:t>majki</w:t>
      </w:r>
      <w:r w:rsidRPr="00C854AF">
        <w:rPr>
          <w:rFonts w:ascii="Calibri" w:eastAsia="Calibri" w:hAnsi="Calibri" w:cs="Times New Roman"/>
          <w:noProof/>
        </w:rPr>
        <w:t xml:space="preserve"> se očekuje da nakon što su za 2500 kuna na sebe preuzele potpunu skrb za teško bolesno dijete te time državi uštedjele desetke tisuća kuna</w:t>
      </w:r>
      <w:r w:rsidR="0023681B">
        <w:rPr>
          <w:rFonts w:ascii="Calibri" w:eastAsia="Calibri" w:hAnsi="Calibri" w:cs="Times New Roman"/>
          <w:noProof/>
        </w:rPr>
        <w:t>,</w:t>
      </w:r>
      <w:r w:rsidRPr="00C854AF">
        <w:rPr>
          <w:rFonts w:ascii="Calibri" w:eastAsia="Calibri" w:hAnsi="Calibri" w:cs="Times New Roman"/>
          <w:noProof/>
        </w:rPr>
        <w:t xml:space="preserve"> koliko bi institucionalizirana skrb</w:t>
      </w:r>
      <w:r w:rsidR="0023681B">
        <w:rPr>
          <w:rFonts w:ascii="Calibri" w:eastAsia="Calibri" w:hAnsi="Calibri" w:cs="Times New Roman"/>
          <w:noProof/>
        </w:rPr>
        <w:t xml:space="preserve"> djece</w:t>
      </w:r>
      <w:r w:rsidRPr="00C854AF">
        <w:rPr>
          <w:rFonts w:ascii="Calibri" w:eastAsia="Calibri" w:hAnsi="Calibri" w:cs="Times New Roman"/>
          <w:noProof/>
        </w:rPr>
        <w:t xml:space="preserve"> koštala, da isti dan nakon što im se dogodila najteža tragedija u životu, aktivno počnu tražiti posao, zaposle se i zarađuju</w:t>
      </w:r>
      <w:r w:rsidR="0023681B">
        <w:rPr>
          <w:rFonts w:ascii="Calibri" w:eastAsia="Calibri" w:hAnsi="Calibri" w:cs="Times New Roman"/>
          <w:noProof/>
        </w:rPr>
        <w:t>,</w:t>
      </w:r>
      <w:r w:rsidRPr="00C854AF">
        <w:rPr>
          <w:rFonts w:ascii="Calibri" w:eastAsia="Calibri" w:hAnsi="Calibri" w:cs="Times New Roman"/>
          <w:noProof/>
        </w:rPr>
        <w:t xml:space="preserve"> kao da se ništa nije dogodilo. </w:t>
      </w:r>
    </w:p>
    <w:p w:rsidR="00C854AF" w:rsidRPr="00C854AF" w:rsidRDefault="00C854AF" w:rsidP="00C854AF">
      <w:pPr>
        <w:jc w:val="both"/>
        <w:rPr>
          <w:rFonts w:ascii="Calibri" w:eastAsia="Calibri" w:hAnsi="Calibri" w:cs="Times New Roman"/>
          <w:noProof/>
        </w:rPr>
      </w:pPr>
      <w:r w:rsidRPr="00C854AF">
        <w:rPr>
          <w:rFonts w:ascii="Calibri" w:eastAsia="Calibri" w:hAnsi="Calibri" w:cs="Times New Roman"/>
          <w:noProof/>
        </w:rPr>
        <w:t xml:space="preserve">Dok umirovljenici i dalje kopaju po kantama za smeće da bi osigurali nekoliko kuna dnevno za hranu, dok mnogi branitelji s ratnim putem žive u riziku od siromaštva, Vlada će istovremeno mnogima koji se nazivaju braniteljima smo zato što su za vrijeme rata sjedili u nekom ministarstvu i radili posao koji bi i inače morali raditi,  a ratni put su vidjeli samo na filmovima, još dodatno povećati mirovine i druge prihode s naslova branitelja. </w:t>
      </w:r>
    </w:p>
    <w:p w:rsidR="007B4565" w:rsidRPr="007B4565" w:rsidRDefault="00C854AF" w:rsidP="00C854AF">
      <w:pP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Times New Roman"/>
          <w:noProof/>
        </w:rPr>
        <w:t>Centar za mirovne studije</w:t>
      </w:r>
      <w:hyperlink r:id="rId10" w:history="1">
        <w:r w:rsidRPr="00C854AF">
          <w:rPr>
            <w:rStyle w:val="Hyperlink"/>
            <w:rFonts w:ascii="Calibri" w:eastAsia="Calibri" w:hAnsi="Calibri" w:cs="Times New Roman"/>
            <w:noProof/>
          </w:rPr>
          <w:t xml:space="preserve"> upozorava</w:t>
        </w:r>
      </w:hyperlink>
      <w:r>
        <w:rPr>
          <w:rFonts w:ascii="Calibri" w:eastAsia="Calibri" w:hAnsi="Calibri" w:cs="Times New Roman"/>
          <w:noProof/>
        </w:rPr>
        <w:t xml:space="preserve"> kako su sve</w:t>
      </w:r>
      <w:r w:rsidRPr="00C854AF">
        <w:rPr>
          <w:rFonts w:ascii="Calibri" w:eastAsia="Calibri" w:hAnsi="Calibri" w:cs="Times New Roman"/>
          <w:noProof/>
        </w:rPr>
        <w:t xml:space="preserve"> to samo neke od slika licemjerja ove države prema siromaštvu i najugroženijim članovima našeg društva. A važno je ponoviti, njih ima više od milijun! </w:t>
      </w:r>
      <w:r w:rsidRPr="00C854AF">
        <w:rPr>
          <w:rFonts w:ascii="Calibri" w:eastAsia="Calibri" w:hAnsi="Calibri" w:cs="Times New Roman"/>
          <w:b/>
          <w:noProof/>
        </w:rPr>
        <w:t>Milijun onih koji će ostati živjeti u</w:t>
      </w:r>
      <w:r w:rsidR="0023681B">
        <w:rPr>
          <w:rFonts w:ascii="Calibri" w:eastAsia="Calibri" w:hAnsi="Calibri" w:cs="Times New Roman"/>
          <w:b/>
          <w:noProof/>
        </w:rPr>
        <w:t xml:space="preserve"> riziku od siromaštva</w:t>
      </w:r>
      <w:r w:rsidRPr="00C854AF">
        <w:rPr>
          <w:rFonts w:ascii="Calibri" w:eastAsia="Calibri" w:hAnsi="Calibri" w:cs="Times New Roman"/>
          <w:b/>
          <w:noProof/>
        </w:rPr>
        <w:t>, milijun onih kojima će se još t</w:t>
      </w:r>
      <w:r w:rsidR="0023681B">
        <w:rPr>
          <w:rFonts w:ascii="Calibri" w:eastAsia="Calibri" w:hAnsi="Calibri" w:cs="Times New Roman"/>
          <w:b/>
          <w:noProof/>
        </w:rPr>
        <w:t>isuće pridruživati svaki mjesec. Ipak,</w:t>
      </w:r>
      <w:r w:rsidRPr="00C854AF">
        <w:rPr>
          <w:rFonts w:ascii="Calibri" w:eastAsia="Calibri" w:hAnsi="Calibri" w:cs="Times New Roman"/>
          <w:b/>
          <w:noProof/>
        </w:rPr>
        <w:t xml:space="preserve"> dok zabrinuto gledaju u nebo u strahu da će ih sustići kiša</w:t>
      </w:r>
      <w:r w:rsidR="00A60985">
        <w:rPr>
          <w:rFonts w:ascii="Calibri" w:eastAsia="Calibri" w:hAnsi="Calibri" w:cs="Times New Roman"/>
          <w:b/>
          <w:noProof/>
        </w:rPr>
        <w:t xml:space="preserve">, </w:t>
      </w:r>
      <w:r w:rsidRPr="00C854AF">
        <w:rPr>
          <w:rFonts w:ascii="Calibri" w:eastAsia="Calibri" w:hAnsi="Calibri" w:cs="Times New Roman"/>
          <w:b/>
          <w:noProof/>
        </w:rPr>
        <w:t>tragaju</w:t>
      </w:r>
      <w:r w:rsidR="00A60985">
        <w:rPr>
          <w:rFonts w:ascii="Calibri" w:eastAsia="Calibri" w:hAnsi="Calibri" w:cs="Times New Roman"/>
          <w:b/>
          <w:noProof/>
        </w:rPr>
        <w:t>ći</w:t>
      </w:r>
      <w:r w:rsidRPr="00C854AF">
        <w:rPr>
          <w:rFonts w:ascii="Calibri" w:eastAsia="Calibri" w:hAnsi="Calibri" w:cs="Times New Roman"/>
          <w:b/>
          <w:noProof/>
        </w:rPr>
        <w:t xml:space="preserve"> za odbačenim plastičnim bocama, možda </w:t>
      </w:r>
      <w:r w:rsidR="00A60985">
        <w:rPr>
          <w:rFonts w:ascii="Calibri" w:eastAsia="Calibri" w:hAnsi="Calibri" w:cs="Times New Roman"/>
          <w:b/>
          <w:noProof/>
        </w:rPr>
        <w:t>ugledaju</w:t>
      </w:r>
      <w:r w:rsidRPr="00C854AF">
        <w:rPr>
          <w:rFonts w:ascii="Calibri" w:eastAsia="Calibri" w:hAnsi="Calibri" w:cs="Times New Roman"/>
          <w:b/>
          <w:noProof/>
        </w:rPr>
        <w:t xml:space="preserve"> neki prekrasan novi borbeni avion vrijedan 300 milijuna kuna koji će im zasigurno život učiniti sigurnijim</w:t>
      </w:r>
      <w:r w:rsidRPr="00C854AF">
        <w:rPr>
          <w:rFonts w:ascii="Calibri" w:eastAsia="Calibri" w:hAnsi="Calibri" w:cs="Times New Roman"/>
          <w:noProof/>
        </w:rPr>
        <w:t xml:space="preserve">. </w:t>
      </w:r>
    </w:p>
    <w:p w:rsidR="007B4565" w:rsidRDefault="007B4565" w:rsidP="007B4565">
      <w:pPr>
        <w:autoSpaceDE w:val="0"/>
        <w:autoSpaceDN w:val="0"/>
        <w:adjustRightInd w:val="0"/>
        <w:spacing w:after="0" w:line="276" w:lineRule="auto"/>
        <w:jc w:val="both"/>
      </w:pPr>
      <w:proofErr w:type="spellStart"/>
      <w:r>
        <w:rPr>
          <w:rFonts w:ascii="Calibri" w:eastAsia="Calibri" w:hAnsi="Calibri" w:cs="Calibri"/>
          <w:lang w:val="en-GB"/>
        </w:rPr>
        <w:t>Kontakt</w:t>
      </w:r>
      <w:proofErr w:type="spellEnd"/>
      <w:r>
        <w:rPr>
          <w:rFonts w:ascii="Calibri" w:eastAsia="Calibri" w:hAnsi="Calibri" w:cs="Calibri"/>
          <w:lang w:val="en-GB"/>
        </w:rPr>
        <w:t xml:space="preserve"> </w:t>
      </w:r>
      <w:proofErr w:type="spellStart"/>
      <w:r>
        <w:rPr>
          <w:rFonts w:ascii="Calibri" w:eastAsia="Calibri" w:hAnsi="Calibri" w:cs="Calibri"/>
          <w:lang w:val="en-GB"/>
        </w:rPr>
        <w:t>za</w:t>
      </w:r>
      <w:proofErr w:type="spellEnd"/>
      <w:r>
        <w:rPr>
          <w:rFonts w:ascii="Calibri" w:eastAsia="Calibri" w:hAnsi="Calibri" w:cs="Calibri"/>
          <w:lang w:val="en-GB"/>
        </w:rPr>
        <w:t xml:space="preserve"> </w:t>
      </w:r>
      <w:proofErr w:type="spellStart"/>
      <w:r>
        <w:rPr>
          <w:rFonts w:ascii="Calibri" w:eastAsia="Calibri" w:hAnsi="Calibri" w:cs="Calibri"/>
          <w:lang w:val="en-GB"/>
        </w:rPr>
        <w:t>medije</w:t>
      </w:r>
      <w:proofErr w:type="spellEnd"/>
      <w:r>
        <w:rPr>
          <w:rFonts w:ascii="Calibri" w:eastAsia="Calibri" w:hAnsi="Calibri" w:cs="Calibri"/>
          <w:lang w:val="en-GB"/>
        </w:rPr>
        <w:t xml:space="preserve">: </w:t>
      </w:r>
      <w:proofErr w:type="spellStart"/>
      <w:r>
        <w:rPr>
          <w:rFonts w:ascii="Calibri" w:eastAsia="Calibri" w:hAnsi="Calibri" w:cs="Calibri"/>
          <w:lang w:val="en-GB"/>
        </w:rPr>
        <w:t>Lovorka</w:t>
      </w:r>
      <w:proofErr w:type="spellEnd"/>
      <w:r>
        <w:rPr>
          <w:rFonts w:ascii="Calibri" w:eastAsia="Calibri" w:hAnsi="Calibri" w:cs="Calibri"/>
          <w:lang w:val="en-GB"/>
        </w:rPr>
        <w:t xml:space="preserve"> </w:t>
      </w:r>
      <w:proofErr w:type="spellStart"/>
      <w:r>
        <w:rPr>
          <w:rFonts w:ascii="Calibri" w:eastAsia="Calibri" w:hAnsi="Calibri" w:cs="Calibri"/>
          <w:lang w:val="en-GB"/>
        </w:rPr>
        <w:t>Šošić</w:t>
      </w:r>
      <w:proofErr w:type="spellEnd"/>
      <w:r>
        <w:rPr>
          <w:rFonts w:ascii="Calibri" w:eastAsia="Calibri" w:hAnsi="Calibri" w:cs="Calibri"/>
          <w:lang w:val="en-GB"/>
        </w:rPr>
        <w:t>,</w:t>
      </w:r>
      <w:r w:rsidRPr="007B4565">
        <w:rPr>
          <w:rFonts w:ascii="Calibri" w:eastAsia="Calibri" w:hAnsi="Calibri" w:cs="Calibri"/>
          <w:lang w:val="en-GB"/>
        </w:rPr>
        <w:t xml:space="preserve"> </w:t>
      </w:r>
      <w:hyperlink r:id="rId11" w:history="1">
        <w:r w:rsidRPr="007B4565">
          <w:rPr>
            <w:rStyle w:val="Hyperlink"/>
            <w:rFonts w:ascii="Calibri" w:eastAsia="Calibri" w:hAnsi="Calibri" w:cs="Calibri"/>
            <w:lang w:val="en-GB"/>
          </w:rPr>
          <w:t>lovorka.sosic@cms,hr</w:t>
        </w:r>
      </w:hyperlink>
      <w:r w:rsidRPr="007B4565">
        <w:rPr>
          <w:rFonts w:ascii="Calibri" w:eastAsia="Calibri" w:hAnsi="Calibri" w:cs="Calibri"/>
          <w:lang w:val="en-GB"/>
        </w:rPr>
        <w:t xml:space="preserve"> </w:t>
      </w:r>
      <w:proofErr w:type="spellStart"/>
      <w:proofErr w:type="gramStart"/>
      <w:r w:rsidRPr="007B4565">
        <w:rPr>
          <w:rFonts w:ascii="Calibri" w:eastAsia="Calibri" w:hAnsi="Calibri" w:cs="Calibri"/>
          <w:lang w:val="en-GB"/>
        </w:rPr>
        <w:t>ili</w:t>
      </w:r>
      <w:proofErr w:type="spellEnd"/>
      <w:proofErr w:type="gramEnd"/>
      <w:r w:rsidRPr="007B4565">
        <w:rPr>
          <w:rFonts w:ascii="Calibri" w:eastAsia="Calibri" w:hAnsi="Calibri" w:cs="Calibri"/>
          <w:lang w:val="en-GB"/>
        </w:rPr>
        <w:t xml:space="preserve"> 098</w:t>
      </w:r>
      <w:r>
        <w:rPr>
          <w:rFonts w:ascii="Calibri" w:eastAsia="Calibri" w:hAnsi="Calibri" w:cs="Calibri"/>
          <w:lang w:val="en-GB"/>
        </w:rPr>
        <w:t>/</w:t>
      </w:r>
      <w:r w:rsidRPr="007B4565">
        <w:rPr>
          <w:rFonts w:ascii="Calibri" w:eastAsia="Calibri" w:hAnsi="Calibri" w:cs="Calibri"/>
          <w:lang w:val="en-GB"/>
        </w:rPr>
        <w:t xml:space="preserve"> 1898 457.</w:t>
      </w:r>
    </w:p>
    <w:sectPr w:rsidR="007B4565" w:rsidSect="00C854AF">
      <w:head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621" w:rsidRDefault="00425621" w:rsidP="007B4565">
      <w:pPr>
        <w:spacing w:after="0" w:line="240" w:lineRule="auto"/>
      </w:pPr>
      <w:r>
        <w:separator/>
      </w:r>
    </w:p>
  </w:endnote>
  <w:endnote w:type="continuationSeparator" w:id="0">
    <w:p w:rsidR="00425621" w:rsidRDefault="00425621" w:rsidP="007B4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621" w:rsidRDefault="00425621" w:rsidP="007B4565">
      <w:pPr>
        <w:spacing w:after="0" w:line="240" w:lineRule="auto"/>
      </w:pPr>
      <w:r>
        <w:separator/>
      </w:r>
    </w:p>
  </w:footnote>
  <w:footnote w:type="continuationSeparator" w:id="0">
    <w:p w:rsidR="00425621" w:rsidRDefault="00425621" w:rsidP="007B4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565" w:rsidRDefault="007B4565">
    <w:pPr>
      <w:pStyle w:val="Header"/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-499745</wp:posOffset>
          </wp:positionH>
          <wp:positionV relativeFrom="paragraph">
            <wp:posOffset>-220980</wp:posOffset>
          </wp:positionV>
          <wp:extent cx="6657340" cy="1047750"/>
          <wp:effectExtent l="0" t="0" r="0" b="0"/>
          <wp:wrapTight wrapText="bothSides">
            <wp:wrapPolygon edited="0">
              <wp:start x="62" y="0"/>
              <wp:lineTo x="0" y="6284"/>
              <wp:lineTo x="0" y="16102"/>
              <wp:lineTo x="1731" y="18851"/>
              <wp:lineTo x="1731" y="19636"/>
              <wp:lineTo x="2040" y="21207"/>
              <wp:lineTo x="2225" y="21207"/>
              <wp:lineTo x="2596" y="21207"/>
              <wp:lineTo x="2658" y="21207"/>
              <wp:lineTo x="3770" y="18851"/>
              <wp:lineTo x="12733" y="18851"/>
              <wp:lineTo x="18790" y="16495"/>
              <wp:lineTo x="18728" y="12567"/>
              <wp:lineTo x="21509" y="9033"/>
              <wp:lineTo x="21509" y="6284"/>
              <wp:lineTo x="20768" y="5498"/>
              <wp:lineTo x="20397" y="3927"/>
              <wp:lineTo x="1978" y="0"/>
              <wp:lineTo x="62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340" cy="1047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565"/>
    <w:rsid w:val="000A6527"/>
    <w:rsid w:val="0023681B"/>
    <w:rsid w:val="00313748"/>
    <w:rsid w:val="003315D7"/>
    <w:rsid w:val="00356CFD"/>
    <w:rsid w:val="00386CAB"/>
    <w:rsid w:val="00425621"/>
    <w:rsid w:val="005C4C60"/>
    <w:rsid w:val="007273A6"/>
    <w:rsid w:val="007B4565"/>
    <w:rsid w:val="00A5262B"/>
    <w:rsid w:val="00A574C2"/>
    <w:rsid w:val="00A60985"/>
    <w:rsid w:val="00C854AF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7D936E"/>
  <w15:chartTrackingRefBased/>
  <w15:docId w15:val="{F0D8BD83-9F31-4C0B-AEEE-029B2C06E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4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565"/>
  </w:style>
  <w:style w:type="paragraph" w:styleId="Footer">
    <w:name w:val="footer"/>
    <w:basedOn w:val="Normal"/>
    <w:link w:val="FooterChar"/>
    <w:uiPriority w:val="99"/>
    <w:unhideWhenUsed/>
    <w:rsid w:val="007B4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565"/>
  </w:style>
  <w:style w:type="character" w:styleId="Hyperlink">
    <w:name w:val="Hyperlink"/>
    <w:basedOn w:val="DefaultParagraphFont"/>
    <w:uiPriority w:val="99"/>
    <w:unhideWhenUsed/>
    <w:rsid w:val="007B45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5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izg.hr/hr-HR/Djecje-siromastvo-i-strategije-nosenja-sa-siromastvom-kucanstava-u-Hrvatskoj-1589.aspx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spm.hr/pristup-informacijama/statisticka-izvjesca-1765/statisticka-izvjesca-za-2016-godinu/2290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zs.hr/Hrv_Eng/publication/2017/14-01-02_01_2017.htm" TargetMode="External"/><Relationship Id="rId11" Type="http://schemas.openxmlformats.org/officeDocument/2006/relationships/hyperlink" Target="mailto:lovorka.sosic@cms,hr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cms.hr/hr/izjave-za-javnost/dan-borbe-protiv-siromastva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eizg.hr/hr-HR/Djecje-siromastvo-i-strategije-nosenja-sa-siromastvom-kucanstava-u-Hrvatskoj-1589.asp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dcterms:created xsi:type="dcterms:W3CDTF">2017-10-17T10:22:00Z</dcterms:created>
  <dcterms:modified xsi:type="dcterms:W3CDTF">2017-10-17T10:53:00Z</dcterms:modified>
</cp:coreProperties>
</file>