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38" w:rsidRDefault="005A0B38" w:rsidP="00050844">
      <w:pPr>
        <w:rPr>
          <w:szCs w:val="28"/>
        </w:rPr>
      </w:pPr>
    </w:p>
    <w:p w:rsidR="00050844" w:rsidRPr="00050844" w:rsidRDefault="00050844" w:rsidP="00050844">
      <w:pPr>
        <w:jc w:val="center"/>
        <w:rPr>
          <w:b/>
          <w:sz w:val="36"/>
          <w:szCs w:val="36"/>
        </w:rPr>
      </w:pPr>
      <w:r w:rsidRPr="00050844">
        <w:rPr>
          <w:b/>
          <w:sz w:val="36"/>
          <w:szCs w:val="36"/>
        </w:rPr>
        <w:t xml:space="preserve">ZAHTJEVI GOOD INICIJATIVE </w:t>
      </w:r>
    </w:p>
    <w:p w:rsidR="00050844" w:rsidRPr="00050844" w:rsidRDefault="00050844" w:rsidP="00050844">
      <w:pPr>
        <w:jc w:val="center"/>
        <w:rPr>
          <w:b/>
          <w:sz w:val="36"/>
          <w:szCs w:val="36"/>
        </w:rPr>
      </w:pPr>
      <w:r w:rsidRPr="00050844">
        <w:rPr>
          <w:b/>
          <w:sz w:val="36"/>
          <w:szCs w:val="36"/>
        </w:rPr>
        <w:t xml:space="preserve">UOČI IZVANREDNIH PARLAMENTARNIH IZBORA 2016. </w:t>
      </w:r>
    </w:p>
    <w:p w:rsidR="007514C9" w:rsidRDefault="00136581" w:rsidP="007514C9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514C9">
        <w:rPr>
          <w:rFonts w:ascii="Verdana" w:hAnsi="Verdana" w:cs="Verdana"/>
          <w:sz w:val="20"/>
          <w:szCs w:val="20"/>
        </w:rPr>
        <w:t>Suočeni s ozbiljnim</w:t>
      </w:r>
      <w:r w:rsidR="00050844" w:rsidRPr="007514C9">
        <w:rPr>
          <w:rFonts w:ascii="Verdana" w:hAnsi="Verdana" w:cs="Verdana"/>
          <w:sz w:val="20"/>
          <w:szCs w:val="20"/>
        </w:rPr>
        <w:t xml:space="preserve"> </w:t>
      </w:r>
      <w:r w:rsidRPr="007514C9">
        <w:rPr>
          <w:rFonts w:ascii="Verdana" w:hAnsi="Verdana" w:cs="Verdana"/>
          <w:b/>
          <w:sz w:val="20"/>
          <w:szCs w:val="20"/>
        </w:rPr>
        <w:t>demokratskim</w:t>
      </w:r>
      <w:r w:rsidR="00050844" w:rsidRPr="007514C9">
        <w:rPr>
          <w:rFonts w:ascii="Verdana" w:hAnsi="Verdana" w:cs="Verdana"/>
          <w:b/>
          <w:sz w:val="20"/>
          <w:szCs w:val="20"/>
        </w:rPr>
        <w:t xml:space="preserve"> deficit</w:t>
      </w:r>
      <w:r w:rsidRPr="007514C9">
        <w:rPr>
          <w:rFonts w:ascii="Verdana" w:hAnsi="Verdana" w:cs="Verdana"/>
          <w:b/>
          <w:sz w:val="20"/>
          <w:szCs w:val="20"/>
        </w:rPr>
        <w:t>om</w:t>
      </w:r>
      <w:r w:rsidR="00050844" w:rsidRPr="007514C9">
        <w:rPr>
          <w:rFonts w:ascii="Verdana" w:hAnsi="Verdana" w:cs="Verdana"/>
          <w:sz w:val="20"/>
          <w:szCs w:val="20"/>
        </w:rPr>
        <w:t xml:space="preserve"> hrvatskoga društva koji se </w:t>
      </w:r>
      <w:r w:rsidRPr="007514C9">
        <w:rPr>
          <w:rFonts w:ascii="Verdana" w:hAnsi="Verdana" w:cs="Verdana"/>
          <w:sz w:val="20"/>
          <w:szCs w:val="20"/>
        </w:rPr>
        <w:t>sve više očituje i u</w:t>
      </w:r>
      <w:r w:rsidR="00050844" w:rsidRPr="007514C9">
        <w:rPr>
          <w:rFonts w:ascii="Verdana" w:hAnsi="Verdana" w:cs="Verdana"/>
          <w:sz w:val="20"/>
          <w:szCs w:val="20"/>
        </w:rPr>
        <w:t xml:space="preserve"> </w:t>
      </w:r>
      <w:r w:rsidRPr="007514C9">
        <w:rPr>
          <w:rFonts w:ascii="Verdana" w:hAnsi="Verdana" w:cs="Verdana"/>
          <w:sz w:val="20"/>
          <w:szCs w:val="20"/>
        </w:rPr>
        <w:t>stavovima i ponašanjima mladih a na koja nas upozoravaju brojna</w:t>
      </w:r>
      <w:r w:rsidR="00050844" w:rsidRPr="007514C9">
        <w:rPr>
          <w:rFonts w:ascii="Verdana" w:hAnsi="Verdana" w:cs="Calibri"/>
          <w:sz w:val="20"/>
          <w:szCs w:val="20"/>
        </w:rPr>
        <w:t xml:space="preserve"> re</w:t>
      </w:r>
      <w:r w:rsidRPr="007514C9">
        <w:rPr>
          <w:rFonts w:ascii="Verdana" w:hAnsi="Verdana" w:cs="Calibri"/>
          <w:sz w:val="20"/>
          <w:szCs w:val="20"/>
        </w:rPr>
        <w:t>centna</w:t>
      </w:r>
      <w:r w:rsidR="00050844" w:rsidRPr="007514C9">
        <w:rPr>
          <w:rFonts w:ascii="Verdana" w:hAnsi="Verdana" w:cs="Calibri"/>
          <w:sz w:val="20"/>
          <w:szCs w:val="20"/>
        </w:rPr>
        <w:t xml:space="preserve"> istraživanja</w:t>
      </w:r>
      <w:r w:rsidRPr="007514C9">
        <w:rPr>
          <w:rFonts w:ascii="Verdana" w:hAnsi="Verdana" w:cs="Calibri"/>
          <w:sz w:val="20"/>
          <w:szCs w:val="20"/>
        </w:rPr>
        <w:t>, zabrinjavajuć je stalni nedostatak obrazovanja o demokraciji, ljudskim pravima i građanstvu kao i posljedičn</w:t>
      </w:r>
      <w:r w:rsidR="004F79C6" w:rsidRPr="007514C9">
        <w:rPr>
          <w:rFonts w:ascii="Verdana" w:hAnsi="Verdana" w:cs="Calibri"/>
          <w:sz w:val="20"/>
          <w:szCs w:val="20"/>
        </w:rPr>
        <w:t>o</w:t>
      </w:r>
      <w:r w:rsidRPr="007514C9">
        <w:rPr>
          <w:rFonts w:ascii="Verdana" w:hAnsi="Verdana" w:cs="Calibri"/>
          <w:sz w:val="20"/>
          <w:szCs w:val="20"/>
        </w:rPr>
        <w:t xml:space="preserve"> </w:t>
      </w:r>
      <w:r w:rsidRPr="007514C9">
        <w:rPr>
          <w:rFonts w:ascii="Verdana" w:hAnsi="Verdana" w:cs="Calibri"/>
          <w:b/>
          <w:sz w:val="20"/>
          <w:szCs w:val="20"/>
        </w:rPr>
        <w:t>sporost u demokratizaciji škola</w:t>
      </w:r>
      <w:r w:rsidRPr="007514C9">
        <w:rPr>
          <w:rFonts w:ascii="Verdana" w:hAnsi="Verdana" w:cs="Calibri"/>
          <w:sz w:val="20"/>
          <w:szCs w:val="20"/>
        </w:rPr>
        <w:t xml:space="preserve">. </w:t>
      </w:r>
      <w:r w:rsidR="004F79C6" w:rsidRPr="007514C9">
        <w:rPr>
          <w:rFonts w:ascii="Verdana" w:hAnsi="Verdana" w:cs="Calibri"/>
          <w:sz w:val="20"/>
          <w:szCs w:val="20"/>
        </w:rPr>
        <w:t>Unatoč donošenju Nacionalnog programa o obrazovanju za ljudska prava i demokratsko građanstvo</w:t>
      </w:r>
      <w:r w:rsidRPr="007514C9">
        <w:rPr>
          <w:rFonts w:ascii="Verdana" w:hAnsi="Verdana" w:cs="Calibri"/>
          <w:sz w:val="20"/>
          <w:szCs w:val="20"/>
        </w:rPr>
        <w:t xml:space="preserve"> </w:t>
      </w:r>
      <w:r w:rsidR="004F79C6" w:rsidRPr="007514C9">
        <w:rPr>
          <w:rFonts w:ascii="Verdana" w:hAnsi="Verdana" w:cs="Calibri"/>
          <w:sz w:val="20"/>
          <w:szCs w:val="20"/>
        </w:rPr>
        <w:t xml:space="preserve">još 1999. i dalje </w:t>
      </w:r>
      <w:r w:rsidRPr="007514C9">
        <w:rPr>
          <w:rFonts w:ascii="Verdana" w:hAnsi="Verdana" w:cs="Calibri"/>
          <w:sz w:val="20"/>
          <w:szCs w:val="20"/>
        </w:rPr>
        <w:t xml:space="preserve">svim učenicima </w:t>
      </w:r>
      <w:r w:rsidRPr="007514C9">
        <w:rPr>
          <w:rFonts w:ascii="Verdana" w:hAnsi="Verdana" w:cs="Calibri"/>
          <w:b/>
          <w:sz w:val="20"/>
          <w:szCs w:val="20"/>
        </w:rPr>
        <w:t>nije osiguran razvoj građanske kompetencije</w:t>
      </w:r>
      <w:r w:rsidR="004F79C6" w:rsidRPr="007514C9">
        <w:rPr>
          <w:rFonts w:ascii="Verdana" w:hAnsi="Verdana" w:cs="Calibri"/>
          <w:sz w:val="20"/>
          <w:szCs w:val="20"/>
        </w:rPr>
        <w:t xml:space="preserve">. Nakon više godina zagovaranja kvalitetnog uvođenja građanskog odgoja i obrazovanja prema Ministarstvu znanosti, obrazovanja i sporta, a potom i uspješne eksperimentalne provedbe </w:t>
      </w:r>
      <w:r w:rsidR="004F79C6" w:rsidRPr="007514C9">
        <w:rPr>
          <w:rFonts w:ascii="Verdana" w:hAnsi="Verdana" w:cs="Calibri"/>
          <w:i/>
          <w:sz w:val="20"/>
          <w:szCs w:val="20"/>
        </w:rPr>
        <w:t>Kurikuluma građanskog odgoja i obrazovanja</w:t>
      </w:r>
      <w:r w:rsidR="004F79C6" w:rsidRPr="007514C9">
        <w:rPr>
          <w:rFonts w:ascii="Verdana" w:hAnsi="Verdana" w:cs="Calibri"/>
          <w:sz w:val="20"/>
          <w:szCs w:val="20"/>
        </w:rPr>
        <w:t xml:space="preserve"> u 12 hrvatskih škola,</w:t>
      </w:r>
      <w:r w:rsidRPr="007514C9">
        <w:rPr>
          <w:rFonts w:ascii="Verdana" w:hAnsi="Verdana" w:cs="Calibri"/>
          <w:sz w:val="20"/>
          <w:szCs w:val="20"/>
        </w:rPr>
        <w:t xml:space="preserve"> u nastavu </w:t>
      </w:r>
      <w:r w:rsidR="004F79C6" w:rsidRPr="007514C9">
        <w:rPr>
          <w:rFonts w:ascii="Verdana" w:hAnsi="Verdana" w:cs="Calibri"/>
          <w:sz w:val="20"/>
          <w:szCs w:val="20"/>
        </w:rPr>
        <w:t xml:space="preserve">je u konačnici </w:t>
      </w:r>
      <w:r w:rsidRPr="007514C9">
        <w:rPr>
          <w:rFonts w:ascii="Verdana" w:hAnsi="Verdana" w:cs="Calibri"/>
          <w:sz w:val="20"/>
          <w:szCs w:val="20"/>
        </w:rPr>
        <w:t xml:space="preserve">uveden </w:t>
      </w:r>
      <w:r w:rsidRPr="007514C9">
        <w:rPr>
          <w:rFonts w:ascii="Verdana" w:hAnsi="Verdana" w:cs="Calibri"/>
          <w:b/>
          <w:sz w:val="20"/>
          <w:szCs w:val="20"/>
        </w:rPr>
        <w:t>neodgovarajući model provedbe građanskoga odgoja i obrazovanja</w:t>
      </w:r>
      <w:r w:rsidRPr="007514C9">
        <w:rPr>
          <w:rFonts w:ascii="Verdana" w:hAnsi="Verdana" w:cs="Calibri"/>
          <w:sz w:val="20"/>
          <w:szCs w:val="20"/>
        </w:rPr>
        <w:t xml:space="preserve"> </w:t>
      </w:r>
      <w:r w:rsidR="004F79C6" w:rsidRPr="007514C9">
        <w:rPr>
          <w:rFonts w:ascii="Verdana" w:hAnsi="Verdana" w:cs="Calibri"/>
          <w:sz w:val="20"/>
          <w:szCs w:val="20"/>
        </w:rPr>
        <w:t>koji je osim među-</w:t>
      </w:r>
      <w:proofErr w:type="spellStart"/>
      <w:r w:rsidR="004F79C6" w:rsidRPr="007514C9">
        <w:rPr>
          <w:rFonts w:ascii="Verdana" w:hAnsi="Verdana" w:cs="Calibri"/>
          <w:sz w:val="20"/>
          <w:szCs w:val="20"/>
        </w:rPr>
        <w:t>predmetnosti</w:t>
      </w:r>
      <w:proofErr w:type="spellEnd"/>
      <w:r w:rsidR="004F79C6" w:rsidRPr="007514C9">
        <w:rPr>
          <w:rFonts w:ascii="Verdana" w:hAnsi="Verdana" w:cs="Calibri"/>
          <w:sz w:val="20"/>
          <w:szCs w:val="20"/>
        </w:rPr>
        <w:t xml:space="preserve"> kao slabe točke predmetno orijentiranog obrazovnog sustava, uveo i visoko administrativno opterećenje nastavnika. Tim više što Agencija za odgoj i </w:t>
      </w:r>
      <w:r w:rsidR="004F79C6" w:rsidRPr="007514C9">
        <w:rPr>
          <w:rFonts w:ascii="Verdana" w:hAnsi="Verdana" w:cs="Calibri"/>
          <w:b/>
          <w:sz w:val="20"/>
          <w:szCs w:val="20"/>
        </w:rPr>
        <w:t>obrazovanje nije osigurala kvalitetne programe stručnog usavršavanja nastavnika</w:t>
      </w:r>
      <w:r w:rsidR="004F79C6" w:rsidRPr="007514C9">
        <w:rPr>
          <w:rFonts w:ascii="Verdana" w:hAnsi="Verdana" w:cs="Calibri"/>
          <w:sz w:val="20"/>
          <w:szCs w:val="20"/>
        </w:rPr>
        <w:t xml:space="preserve"> dok je istovremeno prekinula suradnju s nizom organizacija civilnoga društva koje su provodile programe stručnog usavršavanja, dok su iste posljednjih godina, bez rezultata, zagovarale usvajanje jasnih kriterija i procedura suradnje u području stručnog usavršavanja nastavnika. </w:t>
      </w:r>
    </w:p>
    <w:p w:rsidR="007514C9" w:rsidRPr="007514C9" w:rsidRDefault="007514C9" w:rsidP="007514C9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7514C9" w:rsidRDefault="008D7706" w:rsidP="007514C9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514C9">
        <w:rPr>
          <w:rFonts w:ascii="Verdana" w:hAnsi="Verdana" w:cs="Calibri"/>
          <w:sz w:val="20"/>
          <w:szCs w:val="20"/>
        </w:rPr>
        <w:t xml:space="preserve">Nedavno započeti proces Cjelovite </w:t>
      </w:r>
      <w:proofErr w:type="spellStart"/>
      <w:r w:rsidRPr="007514C9">
        <w:rPr>
          <w:rFonts w:ascii="Verdana" w:hAnsi="Verdana" w:cs="Calibri"/>
          <w:sz w:val="20"/>
          <w:szCs w:val="20"/>
        </w:rPr>
        <w:t>kurikularne</w:t>
      </w:r>
      <w:proofErr w:type="spellEnd"/>
      <w:r w:rsidRPr="007514C9">
        <w:rPr>
          <w:rFonts w:ascii="Verdana" w:hAnsi="Verdana" w:cs="Calibri"/>
          <w:sz w:val="20"/>
          <w:szCs w:val="20"/>
        </w:rPr>
        <w:t xml:space="preserve"> reforme kao odraz novih i razvojnih smjerova obrazovnih politika i orijentacije ka </w:t>
      </w:r>
      <w:proofErr w:type="spellStart"/>
      <w:r w:rsidRPr="007514C9">
        <w:rPr>
          <w:rFonts w:ascii="Verdana" w:hAnsi="Verdana" w:cs="Calibri"/>
          <w:sz w:val="20"/>
          <w:szCs w:val="20"/>
        </w:rPr>
        <w:t>kurikulumskom</w:t>
      </w:r>
      <w:proofErr w:type="spellEnd"/>
      <w:r w:rsidRPr="007514C9">
        <w:rPr>
          <w:rFonts w:ascii="Verdana" w:hAnsi="Verdana" w:cs="Calibri"/>
          <w:sz w:val="20"/>
          <w:szCs w:val="20"/>
        </w:rPr>
        <w:t xml:space="preserve"> pristupu koji je označio i napuštanje tradicionalnog modela nastavnih planova i programa, zaustavljen je prekidom rada Ekspertne radne skupine.</w:t>
      </w:r>
      <w:r w:rsidR="007514C9">
        <w:rPr>
          <w:rFonts w:ascii="Verdana" w:hAnsi="Verdana" w:cs="Calibri"/>
          <w:sz w:val="20"/>
          <w:szCs w:val="20"/>
        </w:rPr>
        <w:t xml:space="preserve"> </w:t>
      </w:r>
      <w:r w:rsidRPr="007514C9">
        <w:rPr>
          <w:rFonts w:ascii="Verdana" w:hAnsi="Verdana" w:cs="Calibri"/>
          <w:b/>
          <w:sz w:val="20"/>
          <w:szCs w:val="20"/>
        </w:rPr>
        <w:t xml:space="preserve">Politizacija procesa Cjelovite </w:t>
      </w:r>
      <w:proofErr w:type="spellStart"/>
      <w:r w:rsidRPr="007514C9">
        <w:rPr>
          <w:rFonts w:ascii="Verdana" w:hAnsi="Verdana" w:cs="Calibri"/>
          <w:b/>
          <w:sz w:val="20"/>
          <w:szCs w:val="20"/>
        </w:rPr>
        <w:t>kurikularne</w:t>
      </w:r>
      <w:proofErr w:type="spellEnd"/>
      <w:r w:rsidRPr="007514C9">
        <w:rPr>
          <w:rFonts w:ascii="Verdana" w:hAnsi="Verdana" w:cs="Calibri"/>
          <w:b/>
          <w:sz w:val="20"/>
          <w:szCs w:val="20"/>
        </w:rPr>
        <w:t xml:space="preserve"> reforme</w:t>
      </w:r>
      <w:r w:rsidRPr="007514C9">
        <w:rPr>
          <w:rFonts w:ascii="Verdana" w:hAnsi="Verdana" w:cs="Calibri"/>
          <w:sz w:val="20"/>
          <w:szCs w:val="20"/>
        </w:rPr>
        <w:t xml:space="preserve"> te imenovanje njezinih revizora unazadila je iskorake ka demokratskom obrazovanju i pravu na obrazovanje u suvremenom društveno političkom kontekstu. Osim toga, ovaj i prethodni procesi upozoravaju na </w:t>
      </w:r>
      <w:r w:rsidRPr="007514C9">
        <w:rPr>
          <w:rFonts w:ascii="Verdana" w:hAnsi="Verdana" w:cs="Calibri"/>
          <w:b/>
          <w:sz w:val="20"/>
          <w:szCs w:val="20"/>
        </w:rPr>
        <w:t xml:space="preserve">visoku centraliziranost i </w:t>
      </w:r>
      <w:proofErr w:type="spellStart"/>
      <w:r w:rsidRPr="007514C9">
        <w:rPr>
          <w:rFonts w:ascii="Verdana" w:hAnsi="Verdana" w:cs="Calibri"/>
          <w:b/>
          <w:sz w:val="20"/>
          <w:szCs w:val="20"/>
        </w:rPr>
        <w:t>hijerarhiziranost</w:t>
      </w:r>
      <w:proofErr w:type="spellEnd"/>
      <w:r w:rsidRPr="007514C9">
        <w:rPr>
          <w:rFonts w:ascii="Verdana" w:hAnsi="Verdana" w:cs="Calibri"/>
          <w:b/>
          <w:sz w:val="20"/>
          <w:szCs w:val="20"/>
        </w:rPr>
        <w:t xml:space="preserve"> obrazovnog sustava u kojemu ne postoji kvalitetna suradnja i koherentnost između ključnih aktera obrazovne politike</w:t>
      </w:r>
      <w:r w:rsidRPr="007514C9">
        <w:rPr>
          <w:rFonts w:ascii="Verdana" w:hAnsi="Verdana" w:cs="Calibri"/>
          <w:sz w:val="20"/>
          <w:szCs w:val="20"/>
        </w:rPr>
        <w:t xml:space="preserve">. To se posebno vidi u </w:t>
      </w:r>
      <w:r w:rsidRPr="007514C9">
        <w:rPr>
          <w:rFonts w:ascii="Verdana" w:hAnsi="Verdana" w:cs="Calibri"/>
          <w:b/>
          <w:sz w:val="20"/>
          <w:szCs w:val="20"/>
        </w:rPr>
        <w:t>nedostatku provedbe Strategije znanosti, obrazovanja i tehnologije</w:t>
      </w:r>
      <w:r w:rsidRPr="007514C9">
        <w:rPr>
          <w:rFonts w:ascii="Verdana" w:hAnsi="Verdana" w:cs="Calibri"/>
          <w:sz w:val="20"/>
          <w:szCs w:val="20"/>
        </w:rPr>
        <w:t xml:space="preserve"> čije se Povjerenstvo za provedbu zaobilazi pri donošenju ključnih odluka, pa čak i onih koji su mu u mandatu.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8D7706" w:rsidRPr="007514C9" w:rsidRDefault="008D7706" w:rsidP="007514C9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Organizacije civilnog društva okupljene u GOOD Inicijativu za sustavno i kvalitetno uvođenje građanskog odgoja i obrazovanja traže od kandidata i kandidatkinja na prijevremenim parlamentarnim izborima da </w:t>
      </w:r>
      <w:r w:rsidRPr="007514C9">
        <w:rPr>
          <w:rFonts w:ascii="Verdana" w:hAnsi="Verdana"/>
          <w:b/>
          <w:sz w:val="20"/>
          <w:szCs w:val="20"/>
        </w:rPr>
        <w:t>jasno i nedvosmisleno odrede provedbu Strategije obrazovanja, znanosti i tehnologije kao strateški nacionalni cilj</w:t>
      </w:r>
      <w:r w:rsidRPr="007514C9">
        <w:rPr>
          <w:rFonts w:ascii="Verdana" w:hAnsi="Verdana"/>
          <w:sz w:val="20"/>
          <w:szCs w:val="20"/>
        </w:rPr>
        <w:t>.</w:t>
      </w:r>
    </w:p>
    <w:p w:rsidR="008D7706" w:rsidRPr="007514C9" w:rsidRDefault="008D7706" w:rsidP="007514C9">
      <w:pPr>
        <w:snapToGri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D7706" w:rsidRPr="007514C9" w:rsidRDefault="008D7706" w:rsidP="007514C9">
      <w:pPr>
        <w:snapToGri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136581" w:rsidRPr="008D7706" w:rsidRDefault="00136581" w:rsidP="00050844">
      <w:pPr>
        <w:jc w:val="both"/>
        <w:rPr>
          <w:rFonts w:ascii="Verdana" w:hAnsi="Verdana"/>
          <w:sz w:val="20"/>
          <w:szCs w:val="20"/>
        </w:rPr>
      </w:pPr>
    </w:p>
    <w:p w:rsidR="00050844" w:rsidRDefault="00050844" w:rsidP="00050844">
      <w:pPr>
        <w:jc w:val="both"/>
        <w:rPr>
          <w:rFonts w:ascii="Verdana" w:hAnsi="Verdana"/>
          <w:sz w:val="20"/>
        </w:rPr>
      </w:pPr>
    </w:p>
    <w:p w:rsidR="00050844" w:rsidRDefault="00050844" w:rsidP="00050844">
      <w:pPr>
        <w:jc w:val="both"/>
        <w:rPr>
          <w:rFonts w:ascii="Verdana" w:hAnsi="Verdana"/>
          <w:sz w:val="20"/>
        </w:rPr>
      </w:pPr>
    </w:p>
    <w:p w:rsidR="00050844" w:rsidRDefault="007514C9" w:rsidP="007514C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7514C9">
        <w:rPr>
          <w:rFonts w:ascii="Verdana" w:hAnsi="Verdana"/>
          <w:b/>
          <w:sz w:val="28"/>
          <w:szCs w:val="28"/>
        </w:rPr>
        <w:t>ZAHTJEVI GOOD INICIJATIVE</w:t>
      </w:r>
    </w:p>
    <w:p w:rsidR="007514C9" w:rsidRPr="007514C9" w:rsidRDefault="007514C9" w:rsidP="007514C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7514C9" w:rsidRPr="007514C9" w:rsidRDefault="007514C9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 xml:space="preserve">JAVNE POLITIKE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Donijeti </w:t>
      </w:r>
      <w:r w:rsidRPr="007514C9">
        <w:rPr>
          <w:rFonts w:ascii="Verdana" w:hAnsi="Verdana"/>
          <w:b/>
          <w:sz w:val="20"/>
          <w:szCs w:val="20"/>
        </w:rPr>
        <w:t>Rezoluciju o obrazovanju</w:t>
      </w:r>
      <w:r w:rsidRPr="007514C9">
        <w:rPr>
          <w:rFonts w:ascii="Verdana" w:hAnsi="Verdana"/>
          <w:sz w:val="20"/>
          <w:szCs w:val="20"/>
        </w:rPr>
        <w:t xml:space="preserve"> u Hrvatskom saboru kojom će se provedba Strategije obrazovanja, znanosti i tehnologije odrediti ka</w:t>
      </w:r>
      <w:r w:rsidR="007514C9">
        <w:rPr>
          <w:rFonts w:ascii="Verdana" w:hAnsi="Verdana"/>
          <w:sz w:val="20"/>
          <w:szCs w:val="20"/>
        </w:rPr>
        <w:t>o strateški nacionalni cilj.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b/>
          <w:sz w:val="20"/>
          <w:szCs w:val="20"/>
        </w:rPr>
        <w:t>Ministra znanosti, obrazovanja i sporta imenovati potpredsjednikom Vlade</w:t>
      </w:r>
      <w:r w:rsidRPr="007514C9">
        <w:rPr>
          <w:rFonts w:ascii="Verdana" w:hAnsi="Verdana"/>
          <w:sz w:val="20"/>
          <w:szCs w:val="20"/>
        </w:rPr>
        <w:t xml:space="preserve"> s jedinom zadaćom provedbe Strategije obrazovanja, znanosti i tehnologije.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Izraditi </w:t>
      </w:r>
      <w:r w:rsidRPr="007514C9">
        <w:rPr>
          <w:rFonts w:ascii="Verdana" w:hAnsi="Verdana"/>
          <w:b/>
          <w:sz w:val="20"/>
          <w:szCs w:val="20"/>
        </w:rPr>
        <w:t>Akcijski plan</w:t>
      </w:r>
      <w:r w:rsidRPr="007514C9">
        <w:rPr>
          <w:rFonts w:ascii="Verdana" w:hAnsi="Verdana"/>
          <w:sz w:val="20"/>
          <w:szCs w:val="20"/>
        </w:rPr>
        <w:t xml:space="preserve"> provedbe Strategije obrazovanja, znanosti i tehnologije na godišnjoj razini te pratiti provedbu i izrađivati godišnje izvještaje o provedbi. </w:t>
      </w:r>
      <w:r w:rsidR="007514C9">
        <w:rPr>
          <w:rFonts w:ascii="Verdana" w:hAnsi="Verdana"/>
          <w:sz w:val="20"/>
          <w:szCs w:val="20"/>
        </w:rPr>
        <w:t xml:space="preserve">Akcijski plan treba biti donesen krajem svake godine </w:t>
      </w:r>
      <w:r w:rsidR="007514C9" w:rsidRPr="007514C9">
        <w:rPr>
          <w:rFonts w:ascii="Verdana" w:hAnsi="Verdana"/>
          <w:b/>
          <w:sz w:val="20"/>
          <w:szCs w:val="20"/>
        </w:rPr>
        <w:t>uz prijedlog proračuna</w:t>
      </w:r>
      <w:r w:rsid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Usvojiti </w:t>
      </w:r>
      <w:r w:rsidR="00295507" w:rsidRPr="00295507">
        <w:rPr>
          <w:rFonts w:ascii="Verdana" w:hAnsi="Verdana"/>
          <w:b/>
          <w:sz w:val="20"/>
          <w:szCs w:val="20"/>
        </w:rPr>
        <w:t>Plan razvoja strukovnog obrazovanja i osposobljavanja</w:t>
      </w:r>
      <w:r w:rsidR="00295507">
        <w:rPr>
          <w:rFonts w:ascii="Verdana" w:hAnsi="Verdana"/>
          <w:sz w:val="20"/>
          <w:szCs w:val="20"/>
        </w:rPr>
        <w:t xml:space="preserve">. </w:t>
      </w:r>
      <w:r w:rsidRPr="007514C9">
        <w:rPr>
          <w:rFonts w:ascii="Verdana" w:hAnsi="Verdana"/>
          <w:sz w:val="20"/>
          <w:szCs w:val="20"/>
        </w:rPr>
        <w:t xml:space="preserve"> </w:t>
      </w:r>
    </w:p>
    <w:p w:rsidR="007514C9" w:rsidRDefault="007514C9" w:rsidP="007514C9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>FINANCIRANJE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Povećati ulaganje u obrazovanje i znanosti </w:t>
      </w:r>
      <w:r w:rsidRPr="00295507">
        <w:rPr>
          <w:rFonts w:ascii="Verdana" w:hAnsi="Verdana"/>
          <w:sz w:val="20"/>
          <w:szCs w:val="20"/>
        </w:rPr>
        <w:t>na</w:t>
      </w:r>
      <w:r w:rsidRPr="00295507">
        <w:rPr>
          <w:rFonts w:ascii="Verdana" w:hAnsi="Verdana"/>
          <w:b/>
          <w:sz w:val="20"/>
          <w:szCs w:val="20"/>
        </w:rPr>
        <w:t xml:space="preserve"> 6% BDP do 2020. godine</w:t>
      </w:r>
      <w:r w:rsidRPr="007514C9">
        <w:rPr>
          <w:rFonts w:ascii="Verdana" w:hAnsi="Verdana"/>
          <w:sz w:val="20"/>
          <w:szCs w:val="20"/>
        </w:rPr>
        <w:t xml:space="preserve">, te </w:t>
      </w:r>
      <w:r w:rsidRPr="00295507">
        <w:rPr>
          <w:rFonts w:ascii="Verdana" w:hAnsi="Verdana"/>
          <w:b/>
          <w:sz w:val="20"/>
          <w:szCs w:val="20"/>
        </w:rPr>
        <w:t>7% do 2030. godine</w:t>
      </w:r>
      <w:r w:rsidRP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Osigurati poticajno okruženje za korištenje sredstava iz </w:t>
      </w:r>
      <w:r w:rsidRPr="00295507">
        <w:rPr>
          <w:rFonts w:ascii="Verdana" w:hAnsi="Verdana"/>
          <w:b/>
          <w:sz w:val="20"/>
          <w:szCs w:val="20"/>
        </w:rPr>
        <w:t>Europskog socijalnog fonda nami</w:t>
      </w:r>
      <w:r w:rsidR="007514C9" w:rsidRPr="00295507">
        <w:rPr>
          <w:rFonts w:ascii="Verdana" w:hAnsi="Verdana"/>
          <w:b/>
          <w:sz w:val="20"/>
          <w:szCs w:val="20"/>
        </w:rPr>
        <w:t>jenjenih reformi obrazovanja</w:t>
      </w:r>
      <w:r w:rsidR="007514C9">
        <w:rPr>
          <w:rFonts w:ascii="Verdana" w:hAnsi="Verdana"/>
          <w:sz w:val="20"/>
          <w:szCs w:val="20"/>
        </w:rPr>
        <w:t xml:space="preserve"> temeljem kvalitetnih i dobro planiranih strategija, rezultata i indikatora.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Na temelju godišnjeg Akcijskog plana provedbe Strategije znanosti, obrazovanja i tehnologije osigurati </w:t>
      </w:r>
      <w:r w:rsidRPr="00295507">
        <w:rPr>
          <w:rFonts w:ascii="Verdana" w:hAnsi="Verdana"/>
          <w:b/>
          <w:sz w:val="20"/>
          <w:szCs w:val="20"/>
        </w:rPr>
        <w:t>financijske i operativne kapacitete</w:t>
      </w:r>
      <w:r w:rsid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Osigurati stabilno </w:t>
      </w:r>
      <w:r w:rsidRPr="00295507">
        <w:rPr>
          <w:rFonts w:ascii="Verdana" w:hAnsi="Verdana"/>
          <w:b/>
          <w:sz w:val="20"/>
          <w:szCs w:val="20"/>
        </w:rPr>
        <w:t xml:space="preserve">proračunsko financiranje mjera koje osiguravaju </w:t>
      </w:r>
      <w:proofErr w:type="spellStart"/>
      <w:r w:rsidRPr="00295507">
        <w:rPr>
          <w:rFonts w:ascii="Verdana" w:hAnsi="Verdana"/>
          <w:b/>
          <w:sz w:val="20"/>
          <w:szCs w:val="20"/>
        </w:rPr>
        <w:t>inkluziju</w:t>
      </w:r>
      <w:proofErr w:type="spellEnd"/>
      <w:r w:rsidRPr="007514C9">
        <w:rPr>
          <w:rFonts w:ascii="Verdana" w:hAnsi="Verdana"/>
          <w:sz w:val="20"/>
          <w:szCs w:val="20"/>
        </w:rPr>
        <w:t xml:space="preserve"> (pomoćnici u nastavi, dodatno u</w:t>
      </w:r>
      <w:r w:rsidR="00295507">
        <w:rPr>
          <w:rFonts w:ascii="Verdana" w:hAnsi="Verdana"/>
          <w:sz w:val="20"/>
          <w:szCs w:val="20"/>
        </w:rPr>
        <w:t>čenje hrvatskoj jezika i ostalo</w:t>
      </w:r>
      <w:r w:rsidRPr="007514C9">
        <w:rPr>
          <w:rFonts w:ascii="Verdana" w:hAnsi="Verdana"/>
          <w:sz w:val="20"/>
          <w:szCs w:val="20"/>
        </w:rPr>
        <w:t xml:space="preserve">). </w:t>
      </w:r>
    </w:p>
    <w:p w:rsidR="007514C9" w:rsidRPr="007514C9" w:rsidRDefault="007514C9" w:rsidP="007514C9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514C9" w:rsidRPr="007514C9" w:rsidRDefault="007514C9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 xml:space="preserve">CJELOVITA KURIKULARNA REFORMA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95507">
        <w:rPr>
          <w:rFonts w:ascii="Verdana" w:hAnsi="Verdana"/>
          <w:sz w:val="20"/>
          <w:szCs w:val="20"/>
        </w:rPr>
        <w:t>Nastavak</w:t>
      </w:r>
      <w:r w:rsidRPr="00295507">
        <w:rPr>
          <w:rFonts w:ascii="Verdana" w:hAnsi="Verdana"/>
          <w:b/>
          <w:sz w:val="20"/>
          <w:szCs w:val="20"/>
        </w:rPr>
        <w:t xml:space="preserve"> provedbe Cjelovite </w:t>
      </w:r>
      <w:proofErr w:type="spellStart"/>
      <w:r w:rsidRPr="00295507">
        <w:rPr>
          <w:rFonts w:ascii="Verdana" w:hAnsi="Verdana"/>
          <w:b/>
          <w:sz w:val="20"/>
          <w:szCs w:val="20"/>
        </w:rPr>
        <w:t>kurikularne</w:t>
      </w:r>
      <w:proofErr w:type="spellEnd"/>
      <w:r w:rsidRPr="00295507">
        <w:rPr>
          <w:rFonts w:ascii="Verdana" w:hAnsi="Verdana"/>
          <w:b/>
          <w:sz w:val="20"/>
          <w:szCs w:val="20"/>
        </w:rPr>
        <w:t xml:space="preserve"> reforme</w:t>
      </w:r>
      <w:r w:rsidRPr="007514C9">
        <w:rPr>
          <w:rFonts w:ascii="Verdana" w:hAnsi="Verdana"/>
          <w:sz w:val="20"/>
          <w:szCs w:val="20"/>
        </w:rPr>
        <w:t xml:space="preserve"> s istim timom i istim planom utemeljenim na s</w:t>
      </w:r>
      <w:r w:rsidR="007514C9">
        <w:rPr>
          <w:rFonts w:ascii="Verdana" w:hAnsi="Verdana"/>
          <w:sz w:val="20"/>
          <w:szCs w:val="20"/>
        </w:rPr>
        <w:t xml:space="preserve">tručnosti i transparentnosti.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Osigurati </w:t>
      </w:r>
      <w:r w:rsidRPr="00295507">
        <w:rPr>
          <w:rFonts w:ascii="Verdana" w:hAnsi="Verdana"/>
          <w:b/>
          <w:sz w:val="20"/>
          <w:szCs w:val="20"/>
        </w:rPr>
        <w:t>normativni</w:t>
      </w:r>
      <w:r w:rsidR="00295507" w:rsidRPr="00295507">
        <w:rPr>
          <w:rFonts w:ascii="Verdana" w:hAnsi="Verdana"/>
          <w:b/>
          <w:sz w:val="20"/>
          <w:szCs w:val="20"/>
        </w:rPr>
        <w:t>, financijski i operativno-provedbeni</w:t>
      </w:r>
      <w:r w:rsidRPr="00295507">
        <w:rPr>
          <w:rFonts w:ascii="Verdana" w:hAnsi="Verdana"/>
          <w:b/>
          <w:sz w:val="20"/>
          <w:szCs w:val="20"/>
        </w:rPr>
        <w:t xml:space="preserve"> okvir</w:t>
      </w:r>
      <w:r w:rsidRPr="007514C9">
        <w:rPr>
          <w:rFonts w:ascii="Verdana" w:hAnsi="Verdana"/>
          <w:sz w:val="20"/>
          <w:szCs w:val="20"/>
        </w:rPr>
        <w:t xml:space="preserve"> za provedbu C</w:t>
      </w:r>
      <w:r w:rsidR="007514C9">
        <w:rPr>
          <w:rFonts w:ascii="Verdana" w:hAnsi="Verdana"/>
          <w:sz w:val="20"/>
          <w:szCs w:val="20"/>
        </w:rPr>
        <w:t xml:space="preserve">jelovite </w:t>
      </w:r>
      <w:proofErr w:type="spellStart"/>
      <w:r w:rsidR="007514C9">
        <w:rPr>
          <w:rFonts w:ascii="Verdana" w:hAnsi="Verdana"/>
          <w:sz w:val="20"/>
          <w:szCs w:val="20"/>
        </w:rPr>
        <w:t>kurikularne</w:t>
      </w:r>
      <w:proofErr w:type="spellEnd"/>
      <w:r w:rsidR="007514C9">
        <w:rPr>
          <w:rFonts w:ascii="Verdana" w:hAnsi="Verdana"/>
          <w:sz w:val="20"/>
          <w:szCs w:val="20"/>
        </w:rPr>
        <w:t xml:space="preserve"> reforme.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95507">
        <w:rPr>
          <w:rFonts w:ascii="Verdana" w:hAnsi="Verdana"/>
          <w:b/>
          <w:sz w:val="20"/>
          <w:szCs w:val="20"/>
        </w:rPr>
        <w:t xml:space="preserve">Eksperimentalno </w:t>
      </w:r>
      <w:r w:rsidR="00295507" w:rsidRPr="00295507">
        <w:rPr>
          <w:rFonts w:ascii="Verdana" w:hAnsi="Verdana"/>
          <w:b/>
          <w:sz w:val="20"/>
          <w:szCs w:val="20"/>
        </w:rPr>
        <w:t>uvesti i provesti kurikulume</w:t>
      </w:r>
      <w:r w:rsidR="00295507">
        <w:rPr>
          <w:rFonts w:ascii="Verdana" w:hAnsi="Verdana"/>
          <w:sz w:val="20"/>
          <w:szCs w:val="20"/>
        </w:rPr>
        <w:t xml:space="preserve"> proizašle iz Cjelovite </w:t>
      </w:r>
      <w:proofErr w:type="spellStart"/>
      <w:r w:rsidR="00295507">
        <w:rPr>
          <w:rFonts w:ascii="Verdana" w:hAnsi="Verdana"/>
          <w:sz w:val="20"/>
          <w:szCs w:val="20"/>
        </w:rPr>
        <w:t>kurikularne</w:t>
      </w:r>
      <w:proofErr w:type="spellEnd"/>
      <w:r w:rsidR="00295507">
        <w:rPr>
          <w:rFonts w:ascii="Verdana" w:hAnsi="Verdana"/>
          <w:sz w:val="20"/>
          <w:szCs w:val="20"/>
        </w:rPr>
        <w:t xml:space="preserve"> reforme</w:t>
      </w:r>
      <w:r w:rsidRPr="007514C9">
        <w:rPr>
          <w:rFonts w:ascii="Verdana" w:hAnsi="Verdana"/>
          <w:sz w:val="20"/>
          <w:szCs w:val="20"/>
        </w:rPr>
        <w:t xml:space="preserve"> u 60 škola</w:t>
      </w:r>
      <w:r w:rsidR="007514C9">
        <w:rPr>
          <w:rFonts w:ascii="Verdana" w:hAnsi="Verdana"/>
          <w:sz w:val="20"/>
          <w:szCs w:val="20"/>
        </w:rPr>
        <w:t xml:space="preserve"> u školskoj godini 2017./2018.</w:t>
      </w:r>
      <w:r w:rsidR="00295507">
        <w:rPr>
          <w:rFonts w:ascii="Verdana" w:hAnsi="Verdana"/>
          <w:sz w:val="20"/>
          <w:szCs w:val="20"/>
        </w:rPr>
        <w:t xml:space="preserve"> Osigurati pripremu i usavršavanje učitelja i nastavnika za eksperimentalnu provedbu.</w:t>
      </w:r>
    </w:p>
    <w:p w:rsidR="00295507" w:rsidRDefault="00295507" w:rsidP="007514C9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P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514C9" w:rsidRPr="007514C9" w:rsidRDefault="007514C9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 xml:space="preserve">GRAĐANSKI ODGOJ I OBRAZOVANJE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95507">
        <w:rPr>
          <w:rFonts w:ascii="Verdana" w:hAnsi="Verdana"/>
          <w:b/>
          <w:sz w:val="20"/>
          <w:szCs w:val="20"/>
        </w:rPr>
        <w:t>Sustavno i kvalitetno uvođenje GOO u osnovne i</w:t>
      </w:r>
      <w:r w:rsidR="007514C9" w:rsidRPr="00295507">
        <w:rPr>
          <w:rFonts w:ascii="Verdana" w:hAnsi="Verdana"/>
          <w:b/>
          <w:sz w:val="20"/>
          <w:szCs w:val="20"/>
        </w:rPr>
        <w:t xml:space="preserve"> srednje škole </w:t>
      </w:r>
      <w:proofErr w:type="spellStart"/>
      <w:r w:rsidR="007514C9" w:rsidRPr="00295507">
        <w:rPr>
          <w:rFonts w:ascii="Verdana" w:hAnsi="Verdana"/>
          <w:b/>
          <w:sz w:val="20"/>
          <w:szCs w:val="20"/>
        </w:rPr>
        <w:t>međupredmetno</w:t>
      </w:r>
      <w:proofErr w:type="spellEnd"/>
      <w:r w:rsid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Strateški postupno uvoditi GOO kao </w:t>
      </w:r>
      <w:r w:rsidRPr="00295507">
        <w:rPr>
          <w:rFonts w:ascii="Verdana" w:hAnsi="Verdana"/>
          <w:b/>
          <w:sz w:val="20"/>
          <w:szCs w:val="20"/>
        </w:rPr>
        <w:t>poseban obvezni predmet</w:t>
      </w:r>
      <w:r w:rsidRPr="007514C9">
        <w:rPr>
          <w:rFonts w:ascii="Verdana" w:hAnsi="Verdana"/>
          <w:sz w:val="20"/>
          <w:szCs w:val="20"/>
        </w:rPr>
        <w:t xml:space="preserve"> </w:t>
      </w:r>
      <w:r w:rsidR="00295507">
        <w:rPr>
          <w:rFonts w:ascii="Verdana" w:hAnsi="Verdana"/>
          <w:sz w:val="20"/>
          <w:szCs w:val="20"/>
        </w:rPr>
        <w:t xml:space="preserve">najmanje </w:t>
      </w:r>
      <w:r w:rsidRPr="007514C9">
        <w:rPr>
          <w:rFonts w:ascii="Verdana" w:hAnsi="Verdana"/>
          <w:sz w:val="20"/>
          <w:szCs w:val="20"/>
        </w:rPr>
        <w:t>jednu godinu u osnovn</w:t>
      </w:r>
      <w:r w:rsidR="007514C9">
        <w:rPr>
          <w:rFonts w:ascii="Verdana" w:hAnsi="Verdana"/>
          <w:sz w:val="20"/>
          <w:szCs w:val="20"/>
        </w:rPr>
        <w:t xml:space="preserve">oj školi te u srednjoj školi.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P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95507">
        <w:rPr>
          <w:rFonts w:ascii="Verdana" w:hAnsi="Verdana"/>
          <w:b/>
          <w:sz w:val="20"/>
          <w:szCs w:val="20"/>
        </w:rPr>
        <w:t xml:space="preserve">Kvalitetna i </w:t>
      </w:r>
      <w:r w:rsidR="00295507" w:rsidRPr="00295507">
        <w:rPr>
          <w:rFonts w:ascii="Verdana" w:hAnsi="Verdana"/>
          <w:b/>
          <w:sz w:val="20"/>
          <w:szCs w:val="20"/>
        </w:rPr>
        <w:t>sustavna</w:t>
      </w:r>
      <w:r w:rsidRPr="00295507">
        <w:rPr>
          <w:rFonts w:ascii="Verdana" w:hAnsi="Verdana"/>
          <w:b/>
          <w:sz w:val="20"/>
          <w:szCs w:val="20"/>
        </w:rPr>
        <w:t xml:space="preserve"> pri</w:t>
      </w:r>
      <w:r w:rsidR="00295507" w:rsidRPr="00295507">
        <w:rPr>
          <w:rFonts w:ascii="Verdana" w:hAnsi="Verdana"/>
          <w:b/>
          <w:sz w:val="20"/>
          <w:szCs w:val="20"/>
        </w:rPr>
        <w:t>prema učitelja za provedbu GOO</w:t>
      </w:r>
      <w:r w:rsidR="00295507">
        <w:rPr>
          <w:rFonts w:ascii="Verdana" w:hAnsi="Verdana"/>
          <w:sz w:val="20"/>
          <w:szCs w:val="20"/>
        </w:rPr>
        <w:t xml:space="preserve"> kroz programe stručnog osposobljavanja i usavršavanja.</w:t>
      </w:r>
    </w:p>
    <w:p w:rsidR="007514C9" w:rsidRDefault="007514C9" w:rsidP="007514C9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Pr="007514C9" w:rsidRDefault="00050844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 xml:space="preserve">CJELOŽIVOTNO OBRAZOVANJE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50844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Usvojiti </w:t>
      </w:r>
      <w:r w:rsidRPr="00295507">
        <w:rPr>
          <w:rFonts w:ascii="Verdana" w:hAnsi="Verdana"/>
          <w:b/>
          <w:sz w:val="20"/>
          <w:szCs w:val="20"/>
        </w:rPr>
        <w:t>Strategiju obrazovanja odraslih i cjeloživotnog učenja</w:t>
      </w:r>
      <w:r w:rsidRPr="007514C9">
        <w:rPr>
          <w:rFonts w:ascii="Verdana" w:hAnsi="Verdana"/>
          <w:sz w:val="20"/>
          <w:szCs w:val="20"/>
        </w:rPr>
        <w:t xml:space="preserve"> s posebnim naglaskom na stimuliranje uključenosti u programe cjeloživotnog učenja i stručnog usavršavanja nakon završenog formalnog obrazovanja na način da se do 2020. dostigne </w:t>
      </w:r>
      <w:r w:rsidR="00295507">
        <w:rPr>
          <w:rFonts w:ascii="Verdana" w:hAnsi="Verdana"/>
          <w:sz w:val="20"/>
          <w:szCs w:val="20"/>
        </w:rPr>
        <w:t xml:space="preserve">barem polovica </w:t>
      </w:r>
      <w:r w:rsidRPr="007514C9">
        <w:rPr>
          <w:rFonts w:ascii="Verdana" w:hAnsi="Verdana"/>
          <w:sz w:val="20"/>
          <w:szCs w:val="20"/>
        </w:rPr>
        <w:t>uključenost</w:t>
      </w:r>
      <w:r w:rsidR="00295507">
        <w:rPr>
          <w:rFonts w:ascii="Verdana" w:hAnsi="Verdana"/>
          <w:sz w:val="20"/>
          <w:szCs w:val="20"/>
        </w:rPr>
        <w:t>i</w:t>
      </w:r>
      <w:r w:rsidRPr="007514C9">
        <w:rPr>
          <w:rFonts w:ascii="Verdana" w:hAnsi="Verdana"/>
          <w:sz w:val="20"/>
          <w:szCs w:val="20"/>
        </w:rPr>
        <w:t xml:space="preserve"> jednaka prosjeku EU. </w:t>
      </w:r>
    </w:p>
    <w:p w:rsidR="007514C9" w:rsidRDefault="007514C9" w:rsidP="007514C9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5507" w:rsidRDefault="00295507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514C9" w:rsidRPr="007514C9" w:rsidRDefault="00050844" w:rsidP="007514C9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514C9">
        <w:rPr>
          <w:rFonts w:ascii="Verdana" w:hAnsi="Verdana"/>
          <w:b/>
          <w:i/>
          <w:sz w:val="20"/>
          <w:szCs w:val="20"/>
        </w:rPr>
        <w:t>OSIGURANJE KVALITETE I UKLJUČIVOST</w:t>
      </w:r>
      <w:r w:rsidR="007514C9" w:rsidRPr="007514C9">
        <w:rPr>
          <w:rFonts w:ascii="Verdana" w:hAnsi="Verdana"/>
          <w:b/>
          <w:i/>
          <w:sz w:val="20"/>
          <w:szCs w:val="20"/>
        </w:rPr>
        <w:t xml:space="preserve">I SUSTAVA ODGOJA I OBRAZOVANJA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Osigurati poticajno okruženje i normativni okvir za </w:t>
      </w:r>
      <w:r w:rsidRPr="00295507">
        <w:rPr>
          <w:rFonts w:ascii="Verdana" w:hAnsi="Verdana"/>
          <w:b/>
          <w:sz w:val="20"/>
          <w:szCs w:val="20"/>
        </w:rPr>
        <w:t>demokratizaciju</w:t>
      </w:r>
      <w:r w:rsidR="007514C9" w:rsidRPr="00295507">
        <w:rPr>
          <w:rFonts w:ascii="Verdana" w:hAnsi="Verdana"/>
          <w:b/>
          <w:sz w:val="20"/>
          <w:szCs w:val="20"/>
        </w:rPr>
        <w:t xml:space="preserve"> sustava upravljanja školama</w:t>
      </w:r>
      <w:r w:rsid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Strateški oblikovati </w:t>
      </w:r>
      <w:r w:rsidRPr="00295507">
        <w:rPr>
          <w:rFonts w:ascii="Verdana" w:hAnsi="Verdana"/>
          <w:b/>
          <w:sz w:val="20"/>
          <w:szCs w:val="20"/>
        </w:rPr>
        <w:t>sustav profesionalnog razvoja učitelja</w:t>
      </w:r>
      <w:r w:rsidRPr="007514C9">
        <w:rPr>
          <w:rFonts w:ascii="Verdana" w:hAnsi="Verdana"/>
          <w:sz w:val="20"/>
          <w:szCs w:val="20"/>
        </w:rPr>
        <w:t xml:space="preserve"> te </w:t>
      </w:r>
      <w:r w:rsidR="007514C9">
        <w:rPr>
          <w:rFonts w:ascii="Verdana" w:hAnsi="Verdana"/>
          <w:sz w:val="20"/>
          <w:szCs w:val="20"/>
        </w:rPr>
        <w:t xml:space="preserve">sustav licenciranja učitelja.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>Oblikovati</w:t>
      </w:r>
      <w:r w:rsidR="00295507">
        <w:rPr>
          <w:rFonts w:ascii="Verdana" w:hAnsi="Verdana"/>
          <w:sz w:val="20"/>
          <w:szCs w:val="20"/>
        </w:rPr>
        <w:t xml:space="preserve"> </w:t>
      </w:r>
      <w:r w:rsidR="00295507" w:rsidRPr="00295507">
        <w:rPr>
          <w:rFonts w:ascii="Verdana" w:hAnsi="Verdana"/>
          <w:b/>
          <w:sz w:val="20"/>
          <w:szCs w:val="20"/>
        </w:rPr>
        <w:t>sustav licenciranja ravnatelja</w:t>
      </w:r>
      <w:r w:rsidRPr="007514C9">
        <w:rPr>
          <w:rFonts w:ascii="Verdana" w:hAnsi="Verdana"/>
          <w:sz w:val="20"/>
          <w:szCs w:val="20"/>
        </w:rPr>
        <w:t xml:space="preserve"> te isti</w:t>
      </w:r>
      <w:r w:rsidR="007514C9">
        <w:rPr>
          <w:rFonts w:ascii="Verdana" w:hAnsi="Verdana"/>
          <w:sz w:val="20"/>
          <w:szCs w:val="20"/>
        </w:rPr>
        <w:t xml:space="preserve"> osloboditi utjecaja politike.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Agencija za odgoj i obrazovanje treba izraditi </w:t>
      </w:r>
      <w:r w:rsidRPr="00295507">
        <w:rPr>
          <w:rFonts w:ascii="Verdana" w:hAnsi="Verdana"/>
          <w:b/>
          <w:sz w:val="20"/>
          <w:szCs w:val="20"/>
        </w:rPr>
        <w:t>standarde, procedure i kriterije za programe stručnog usavršavanja učitelja</w:t>
      </w:r>
      <w:r w:rsidRPr="007514C9">
        <w:rPr>
          <w:rFonts w:ascii="Verdana" w:hAnsi="Verdana"/>
          <w:sz w:val="20"/>
          <w:szCs w:val="20"/>
        </w:rPr>
        <w:t xml:space="preserve"> koje provode vanjski dionici, organizacije i ustanove, kao i za </w:t>
      </w:r>
      <w:r w:rsidRPr="00295507">
        <w:rPr>
          <w:rFonts w:ascii="Verdana" w:hAnsi="Verdana"/>
          <w:b/>
          <w:sz w:val="20"/>
          <w:szCs w:val="20"/>
        </w:rPr>
        <w:t xml:space="preserve">programe suradnje škola i organizacija civilnog društva </w:t>
      </w:r>
      <w:r w:rsidRPr="007514C9">
        <w:rPr>
          <w:rFonts w:ascii="Verdana" w:hAnsi="Verdana"/>
          <w:sz w:val="20"/>
          <w:szCs w:val="20"/>
        </w:rPr>
        <w:t>usmjerene na učenje zalaganjem u zajednici. U stručnom timu koji razmatra ostvaruju li programi postavljane standarde trebaju biti neovisn</w:t>
      </w:r>
      <w:r w:rsidR="007514C9">
        <w:rPr>
          <w:rFonts w:ascii="Verdana" w:hAnsi="Verdana"/>
          <w:sz w:val="20"/>
          <w:szCs w:val="20"/>
        </w:rPr>
        <w:t xml:space="preserve">i stručnjaci.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Podržati </w:t>
      </w:r>
      <w:r w:rsidRPr="00295507">
        <w:rPr>
          <w:rFonts w:ascii="Verdana" w:hAnsi="Verdana"/>
          <w:b/>
          <w:sz w:val="20"/>
          <w:szCs w:val="20"/>
        </w:rPr>
        <w:t xml:space="preserve">osnivanje i rad </w:t>
      </w:r>
      <w:r w:rsidR="00295507">
        <w:rPr>
          <w:rFonts w:ascii="Verdana" w:hAnsi="Verdana"/>
          <w:b/>
          <w:sz w:val="20"/>
          <w:szCs w:val="20"/>
        </w:rPr>
        <w:t>i</w:t>
      </w:r>
      <w:r w:rsidRPr="00295507">
        <w:rPr>
          <w:rFonts w:ascii="Verdana" w:hAnsi="Verdana"/>
          <w:b/>
          <w:sz w:val="20"/>
          <w:szCs w:val="20"/>
        </w:rPr>
        <w:t>nterkulturne škole u Vukovaru</w:t>
      </w:r>
      <w:r w:rsidRPr="007514C9">
        <w:rPr>
          <w:rFonts w:ascii="Verdana" w:hAnsi="Verdana"/>
          <w:sz w:val="20"/>
          <w:szCs w:val="20"/>
        </w:rPr>
        <w:t xml:space="preserve"> kao dodatnog modela obrazovanja posebno primjerenog</w:t>
      </w:r>
      <w:r w:rsidR="007514C9">
        <w:rPr>
          <w:rFonts w:ascii="Verdana" w:hAnsi="Verdana"/>
          <w:sz w:val="20"/>
          <w:szCs w:val="20"/>
        </w:rPr>
        <w:t xml:space="preserve"> u višeetničkim zajednicama. 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Razviti i implementirati </w:t>
      </w:r>
      <w:r w:rsidRPr="00295507">
        <w:rPr>
          <w:rFonts w:ascii="Verdana" w:hAnsi="Verdana"/>
          <w:b/>
          <w:sz w:val="20"/>
          <w:szCs w:val="20"/>
        </w:rPr>
        <w:t>model inkluzije u obrazovni sustav djece izbjeglica i djece migrantskog podr</w:t>
      </w:r>
      <w:r w:rsidR="007514C9" w:rsidRPr="00295507">
        <w:rPr>
          <w:rFonts w:ascii="Verdana" w:hAnsi="Verdana"/>
          <w:b/>
          <w:sz w:val="20"/>
          <w:szCs w:val="20"/>
        </w:rPr>
        <w:t>ijetla</w:t>
      </w:r>
      <w:r w:rsidR="007514C9">
        <w:rPr>
          <w:rFonts w:ascii="Verdana" w:hAnsi="Verdana"/>
          <w:sz w:val="20"/>
          <w:szCs w:val="20"/>
        </w:rPr>
        <w:t xml:space="preserve">. </w:t>
      </w:r>
    </w:p>
    <w:p w:rsidR="007514C9" w:rsidRDefault="007514C9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Pratiti i poticati </w:t>
      </w:r>
      <w:r w:rsidRPr="00295507">
        <w:rPr>
          <w:rFonts w:ascii="Verdana" w:hAnsi="Verdana"/>
          <w:b/>
          <w:sz w:val="20"/>
          <w:szCs w:val="20"/>
        </w:rPr>
        <w:t>prilagodbu sustava potrebama djece iz skupina u riziku od socijalne isključenosti te djeci s invaliditetom, teškoćama i posebnim potrebama</w:t>
      </w:r>
      <w:r w:rsidRPr="007514C9">
        <w:rPr>
          <w:rFonts w:ascii="Verdana" w:hAnsi="Verdana"/>
          <w:sz w:val="20"/>
          <w:szCs w:val="20"/>
        </w:rPr>
        <w:t xml:space="preserve">. </w:t>
      </w:r>
    </w:p>
    <w:p w:rsidR="005A0B38" w:rsidRP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14C9">
        <w:rPr>
          <w:rFonts w:ascii="Verdana" w:hAnsi="Verdana"/>
          <w:sz w:val="20"/>
          <w:szCs w:val="20"/>
        </w:rPr>
        <w:t xml:space="preserve">  </w:t>
      </w:r>
    </w:p>
    <w:p w:rsidR="00050844" w:rsidRPr="00050844" w:rsidRDefault="00050844" w:rsidP="00295507">
      <w:pPr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hr-HR"/>
        </w:rPr>
      </w:pPr>
      <w:r w:rsidRPr="00050844">
        <w:rPr>
          <w:rFonts w:ascii="Verdana" w:eastAsia="Times New Roman" w:hAnsi="Verdana" w:cs="Arial"/>
          <w:color w:val="500050"/>
          <w:sz w:val="20"/>
          <w:szCs w:val="20"/>
          <w:shd w:val="clear" w:color="auto" w:fill="FFFFFF"/>
          <w:lang w:eastAsia="hr-HR"/>
        </w:rPr>
        <w:t> </w:t>
      </w:r>
      <w:r w:rsidRPr="00050844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 </w:t>
      </w:r>
    </w:p>
    <w:p w:rsidR="00050844" w:rsidRPr="007514C9" w:rsidRDefault="00050844" w:rsidP="007514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050844" w:rsidRPr="007514C9" w:rsidSect="007514C9">
      <w:headerReference w:type="default" r:id="rId8"/>
      <w:footerReference w:type="default" r:id="rId9"/>
      <w:pgSz w:w="11900" w:h="16840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F86" w:rsidRDefault="002C4F86" w:rsidP="00A52100">
      <w:pPr>
        <w:spacing w:after="0" w:line="240" w:lineRule="auto"/>
      </w:pPr>
      <w:r>
        <w:separator/>
      </w:r>
    </w:p>
  </w:endnote>
  <w:endnote w:type="continuationSeparator" w:id="0">
    <w:p w:rsidR="002C4F86" w:rsidRDefault="002C4F86" w:rsidP="00A5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00" w:rsidRDefault="00D96DD8">
    <w:pPr>
      <w:pStyle w:val="Footer"/>
    </w:pPr>
    <w:r w:rsidRPr="00D96D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296.6pt;margin-top:4.6pt;width:188.95pt;height:34.85pt;z-index:251660288;visibility:visible;mso-width-relative:margin;mso-height-relative:margin" wrapcoords="-86 0 -86 21130 21600 21130 21600 0 -8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0tMoECAAAPBQAADgAAAGRycy9lMm9Eb2MueG1srFTZjtsgFH2v1H9AvGe8FGdia5zRLE1VabpI&#10;M/0AYnCMioECiT2t+u+94CST6SJVVf2AWS7nLudcLi7HXqIdt05oVePsLMWIq0YzoTY1/vSwmi0w&#10;cp4qRqVWvMaP3OHL5csXF4OpeK47LRm3CECUqwZT4857UyWJazreU3emDVdw2GrbUw9Lu0mYpQOg&#10;9zLJ03SeDNoyY3XDnYPd2+kQLyN+2/LGf2hbxz2SNYbYfBxtHNdhTJYXtNpYajrR7MOg/xBFT4UC&#10;p0eoW+op2lrxC1QvGqudbv1Zo/tEt61oeMwBssnSn7K576jhMRcojjPHMrn/B9u83320SLAaE4wU&#10;7YGiBz56dK1HREJ1BuMqMLo3YOZH2AaWY6bO3Onms0NK33RUbfiVtXroOGUQXRZuJidXJxwXQNbD&#10;O83ADd16HYHG1vahdFAMBOjA0uORmRBKA5v5q7KczwuMGjgjJC/KIrqg1eG2sc6/4bpHYVJjC8xH&#10;dLq7cz5EQ6uDSXDmtBRsJaSMC7tZ30iLdhRUsorfHv2ZmVTBWOlwbUKcdiBI8BHOQriR9W9llpP0&#10;Oi9nq/nifEZaUszK83QxS7PyupynpCS3q+8hwIxUnWCMqzuh+EGBGfk7hve9MGknahANNS6LvJgo&#10;+mOSafx+l2QvPDSkFH2NF0cjWgViXysGadPKUyGnefI8/FhlqMHhH6sSZRCYnzTgx/UIKEEba80e&#10;QRBWA1/AOrwiMOm0/YrRAB1ZY/dlSy3HSL5VIKoyIyS0cFyQ4jyHhT09WZ+eUNUAVI09RtP0xk9t&#10;vzVWbDrwNMlY6SsQYiuiRp6i2ssXui4ms38hQlufrqPV0zu2/AEAAP//AwBQSwMEFAAGAAgAAAAh&#10;AGpCkuzeAAAACAEAAA8AAABkcnMvZG93bnJldi54bWxMj8FOwzAQRO9I/IO1SFwQdVJoU4dsKkAC&#10;cW3pB2xiN4mI7Sh2m/TvWU70NFrNaOZtsZ1tL85mDJ13COkiAWFc7XXnGoTD98fjBkSI5DT13hmE&#10;iwmwLW9vCsq1n9zOnPexEVziQk4IbYxDLmWoW2MpLPxgHHtHP1qKfI6N1CNNXG57uUyStbTUOV5o&#10;aTDvral/9ieLcPyaHlZqqj7jIds9r9+oyyp/Qby/m19fQEQzx/8w/OEzOpTMVPmT00H0CCv1tOQo&#10;gmJhX2VpCqJCyDYKZFnI6wfKXwAAAP//AwBQSwECLQAUAAYACAAAACEA5JnDwPsAAADhAQAAEwAA&#10;AAAAAAAAAAAAAAAAAAAAW0NvbnRlbnRfVHlwZXNdLnhtbFBLAQItABQABgAIAAAAIQAjsmrh1wAA&#10;AJQBAAALAAAAAAAAAAAAAAAAACwBAABfcmVscy8ucmVsc1BLAQItABQABgAIAAAAIQCFrS0ygQIA&#10;AA8FAAAOAAAAAAAAAAAAAAAAACwCAABkcnMvZTJvRG9jLnhtbFBLAQItABQABgAIAAAAIQBqQpLs&#10;3gAAAAgBAAAPAAAAAAAAAAAAAAAAANkEAABkcnMvZG93bnJldi54bWxQSwUGAAAAAAQABADzAAAA&#10;5AUAAAAA&#10;" stroked="f">
          <v:textbox>
            <w:txbxContent>
              <w:p w:rsidR="00A52100" w:rsidRPr="00050844" w:rsidRDefault="00A52100" w:rsidP="00050844">
                <w:pPr>
                  <w:rPr>
                    <w:szCs w:val="18"/>
                    <w:shd w:val="clear" w:color="auto" w:fill="FFFFFF"/>
                  </w:rPr>
                </w:pPr>
              </w:p>
            </w:txbxContent>
          </v:textbox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F86" w:rsidRDefault="002C4F86" w:rsidP="00A52100">
      <w:pPr>
        <w:spacing w:after="0" w:line="240" w:lineRule="auto"/>
      </w:pPr>
      <w:r>
        <w:separator/>
      </w:r>
    </w:p>
  </w:footnote>
  <w:footnote w:type="continuationSeparator" w:id="0">
    <w:p w:rsidR="002C4F86" w:rsidRDefault="002C4F86" w:rsidP="00A5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00" w:rsidRDefault="00A52100">
    <w:pPr>
      <w:pStyle w:val="Header"/>
    </w:pPr>
    <w:r>
      <w:rPr>
        <w:noProof/>
        <w:lang w:val="hr-HR" w:eastAsia="hr-HR"/>
      </w:rPr>
      <w:drawing>
        <wp:inline distT="0" distB="0" distL="0" distR="0">
          <wp:extent cx="2648089" cy="14173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86" cy="141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E70"/>
    <w:multiLevelType w:val="hybridMultilevel"/>
    <w:tmpl w:val="ED58F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F0DB6"/>
    <w:multiLevelType w:val="hybridMultilevel"/>
    <w:tmpl w:val="828A7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B08AA"/>
    <w:multiLevelType w:val="hybridMultilevel"/>
    <w:tmpl w:val="A43AF73E"/>
    <w:lvl w:ilvl="0" w:tplc="DB1694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2100"/>
    <w:rsid w:val="00022EED"/>
    <w:rsid w:val="00034E34"/>
    <w:rsid w:val="00050844"/>
    <w:rsid w:val="000846DE"/>
    <w:rsid w:val="0009409A"/>
    <w:rsid w:val="001200FF"/>
    <w:rsid w:val="00136581"/>
    <w:rsid w:val="001944E6"/>
    <w:rsid w:val="001B6C96"/>
    <w:rsid w:val="002061D9"/>
    <w:rsid w:val="00292286"/>
    <w:rsid w:val="00295507"/>
    <w:rsid w:val="002C4F86"/>
    <w:rsid w:val="002D699E"/>
    <w:rsid w:val="00327CB9"/>
    <w:rsid w:val="00375EEB"/>
    <w:rsid w:val="003A34E2"/>
    <w:rsid w:val="003F6790"/>
    <w:rsid w:val="004F79C6"/>
    <w:rsid w:val="00586A9D"/>
    <w:rsid w:val="005A0B38"/>
    <w:rsid w:val="006728E4"/>
    <w:rsid w:val="006B2733"/>
    <w:rsid w:val="00701737"/>
    <w:rsid w:val="007514C9"/>
    <w:rsid w:val="0075756A"/>
    <w:rsid w:val="00777189"/>
    <w:rsid w:val="00827D9D"/>
    <w:rsid w:val="008325AA"/>
    <w:rsid w:val="008B39A8"/>
    <w:rsid w:val="008D66D8"/>
    <w:rsid w:val="008D7706"/>
    <w:rsid w:val="008E27BA"/>
    <w:rsid w:val="00926BCC"/>
    <w:rsid w:val="0099720C"/>
    <w:rsid w:val="009D7B40"/>
    <w:rsid w:val="00A10CF1"/>
    <w:rsid w:val="00A40C71"/>
    <w:rsid w:val="00A52100"/>
    <w:rsid w:val="00A53AD8"/>
    <w:rsid w:val="00AB6745"/>
    <w:rsid w:val="00AE4975"/>
    <w:rsid w:val="00B7539B"/>
    <w:rsid w:val="00C02033"/>
    <w:rsid w:val="00C1348A"/>
    <w:rsid w:val="00C40445"/>
    <w:rsid w:val="00C42C37"/>
    <w:rsid w:val="00C70F41"/>
    <w:rsid w:val="00C71ED9"/>
    <w:rsid w:val="00C86836"/>
    <w:rsid w:val="00D71366"/>
    <w:rsid w:val="00D75B1E"/>
    <w:rsid w:val="00D96DD8"/>
    <w:rsid w:val="00E82E90"/>
    <w:rsid w:val="00F056DC"/>
    <w:rsid w:val="00F6024F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00"/>
    <w:pPr>
      <w:spacing w:after="200" w:line="276" w:lineRule="auto"/>
    </w:pPr>
    <w:rPr>
      <w:rFonts w:ascii="Calibri" w:eastAsia="Calibri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100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100"/>
  </w:style>
  <w:style w:type="paragraph" w:styleId="Footer">
    <w:name w:val="footer"/>
    <w:basedOn w:val="Normal"/>
    <w:link w:val="FooterChar"/>
    <w:uiPriority w:val="99"/>
    <w:unhideWhenUsed/>
    <w:rsid w:val="00A52100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100"/>
  </w:style>
  <w:style w:type="paragraph" w:styleId="BalloonText">
    <w:name w:val="Balloon Text"/>
    <w:basedOn w:val="Normal"/>
    <w:link w:val="BalloonTextChar"/>
    <w:uiPriority w:val="99"/>
    <w:semiHidden/>
    <w:unhideWhenUsed/>
    <w:rsid w:val="00A52100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0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5210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0FF"/>
    <w:pPr>
      <w:ind w:left="720"/>
      <w:contextualSpacing/>
    </w:pPr>
  </w:style>
  <w:style w:type="paragraph" w:styleId="NoSpacing">
    <w:name w:val="No Spacing"/>
    <w:uiPriority w:val="1"/>
    <w:qFormat/>
    <w:rsid w:val="005A0B38"/>
    <w:rPr>
      <w:rFonts w:ascii="Arial" w:eastAsia="Arial" w:hAnsi="Arial" w:cs="Arial"/>
      <w:color w:val="000000"/>
      <w:sz w:val="22"/>
      <w:szCs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E49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5AA"/>
    <w:rPr>
      <w:rFonts w:ascii="Calibri" w:eastAsia="Calibri" w:hAnsi="Calibri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325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0508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0844"/>
    <w:rPr>
      <w:rFonts w:ascii="Calibri" w:eastAsia="Calibri" w:hAnsi="Calibri" w:cs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05084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00"/>
    <w:pPr>
      <w:spacing w:after="200" w:line="276" w:lineRule="auto"/>
    </w:pPr>
    <w:rPr>
      <w:rFonts w:ascii="Calibri" w:eastAsia="Calibri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100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100"/>
  </w:style>
  <w:style w:type="paragraph" w:styleId="Footer">
    <w:name w:val="footer"/>
    <w:basedOn w:val="Normal"/>
    <w:link w:val="FooterChar"/>
    <w:uiPriority w:val="99"/>
    <w:unhideWhenUsed/>
    <w:rsid w:val="00A52100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100"/>
  </w:style>
  <w:style w:type="paragraph" w:styleId="BalloonText">
    <w:name w:val="Balloon Text"/>
    <w:basedOn w:val="Normal"/>
    <w:link w:val="BalloonTextChar"/>
    <w:uiPriority w:val="99"/>
    <w:semiHidden/>
    <w:unhideWhenUsed/>
    <w:rsid w:val="00A52100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0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5210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43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30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6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65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0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4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2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70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5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489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6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102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0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6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033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2F84D-EFD1-4FCA-BD4F-3112C3E6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Fade In</cp:lastModifiedBy>
  <cp:revision>2</cp:revision>
  <cp:lastPrinted>2016-01-20T17:01:00Z</cp:lastPrinted>
  <dcterms:created xsi:type="dcterms:W3CDTF">2016-07-15T15:09:00Z</dcterms:created>
  <dcterms:modified xsi:type="dcterms:W3CDTF">2016-07-15T15:09:00Z</dcterms:modified>
</cp:coreProperties>
</file>